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D3" w:rsidRPr="008A3A39" w:rsidRDefault="004470D3" w:rsidP="004470D3">
      <w:pPr>
        <w:pStyle w:val="1"/>
        <w:widowControl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附錄</w:t>
      </w:r>
      <w:r w:rsidRPr="008A3A39">
        <w:rPr>
          <w:rFonts w:eastAsia="標楷體"/>
          <w:b/>
          <w:color w:val="auto"/>
          <w:sz w:val="24"/>
          <w:szCs w:val="24"/>
        </w:rPr>
        <w:t xml:space="preserve">-1 </w:t>
      </w:r>
    </w:p>
    <w:p w:rsidR="004470D3" w:rsidRPr="008A3A39" w:rsidRDefault="004470D3" w:rsidP="004470D3">
      <w:pPr>
        <w:pStyle w:val="1"/>
        <w:widowControl/>
        <w:spacing w:before="115"/>
        <w:jc w:val="center"/>
        <w:rPr>
          <w:rFonts w:eastAsia="標楷體"/>
          <w:color w:val="auto"/>
          <w:sz w:val="24"/>
          <w:szCs w:val="28"/>
        </w:rPr>
      </w:pPr>
      <w:r w:rsidRPr="008A3A39">
        <w:rPr>
          <w:rFonts w:eastAsia="標楷體"/>
          <w:color w:val="auto"/>
          <w:sz w:val="24"/>
          <w:szCs w:val="28"/>
        </w:rPr>
        <w:t>花蓮縣</w:t>
      </w:r>
      <w:r>
        <w:rPr>
          <w:rFonts w:eastAsia="標楷體" w:hint="eastAsia"/>
          <w:color w:val="auto"/>
          <w:sz w:val="24"/>
          <w:szCs w:val="28"/>
        </w:rPr>
        <w:t>1</w:t>
      </w:r>
      <w:r w:rsidR="00730EB8">
        <w:rPr>
          <w:rFonts w:eastAsia="標楷體" w:hint="eastAsia"/>
          <w:color w:val="auto"/>
          <w:sz w:val="24"/>
          <w:szCs w:val="28"/>
        </w:rPr>
        <w:t>1</w:t>
      </w:r>
      <w:r w:rsidR="001534FF">
        <w:rPr>
          <w:rFonts w:eastAsia="標楷體" w:hint="eastAsia"/>
          <w:color w:val="auto"/>
          <w:sz w:val="24"/>
          <w:szCs w:val="28"/>
        </w:rPr>
        <w:t>1</w:t>
      </w:r>
      <w:r w:rsidRPr="008A3A39">
        <w:rPr>
          <w:rFonts w:eastAsia="標楷體"/>
          <w:color w:val="auto"/>
          <w:sz w:val="24"/>
          <w:szCs w:val="28"/>
        </w:rPr>
        <w:t>學年度</w:t>
      </w:r>
      <w:r>
        <w:rPr>
          <w:rFonts w:eastAsia="標楷體" w:hint="eastAsia"/>
          <w:color w:val="auto"/>
          <w:sz w:val="24"/>
          <w:szCs w:val="28"/>
        </w:rPr>
        <w:t>新城</w:t>
      </w:r>
      <w:r w:rsidRPr="008A3A39">
        <w:rPr>
          <w:rFonts w:eastAsia="標楷體"/>
          <w:color w:val="auto"/>
          <w:sz w:val="24"/>
          <w:szCs w:val="28"/>
        </w:rPr>
        <w:t>鄉</w:t>
      </w:r>
      <w:r>
        <w:rPr>
          <w:rFonts w:eastAsia="標楷體" w:hint="eastAsia"/>
          <w:color w:val="auto"/>
          <w:sz w:val="24"/>
          <w:szCs w:val="28"/>
        </w:rPr>
        <w:t>北埔</w:t>
      </w:r>
      <w:r w:rsidRPr="008A3A39">
        <w:rPr>
          <w:rFonts w:eastAsia="標楷體"/>
          <w:color w:val="auto"/>
          <w:sz w:val="24"/>
          <w:szCs w:val="28"/>
        </w:rPr>
        <w:t>國民小學</w:t>
      </w:r>
    </w:p>
    <w:p w:rsidR="004470D3" w:rsidRPr="008A3A39" w:rsidRDefault="004470D3" w:rsidP="00CD6030">
      <w:pPr>
        <w:pStyle w:val="1"/>
        <w:widowControl/>
        <w:spacing w:before="163"/>
        <w:ind w:right="-1"/>
        <w:jc w:val="center"/>
        <w:rPr>
          <w:rFonts w:eastAsia="標楷體"/>
          <w:color w:val="auto"/>
          <w:sz w:val="24"/>
          <w:szCs w:val="28"/>
        </w:rPr>
      </w:pPr>
      <w:r w:rsidRPr="008A3A39">
        <w:rPr>
          <w:rFonts w:eastAsia="標楷體"/>
          <w:color w:val="auto"/>
          <w:sz w:val="24"/>
          <w:szCs w:val="28"/>
        </w:rPr>
        <w:t>校長及教師公開授課活動-辦理時間規劃表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768"/>
        <w:gridCol w:w="1285"/>
        <w:gridCol w:w="964"/>
        <w:gridCol w:w="1446"/>
        <w:gridCol w:w="1843"/>
        <w:gridCol w:w="1984"/>
        <w:gridCol w:w="725"/>
      </w:tblGrid>
      <w:tr w:rsidR="004470D3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0D3" w:rsidRPr="004470D3" w:rsidRDefault="004470D3" w:rsidP="00D77D8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0D3" w:rsidRPr="004470D3" w:rsidRDefault="004470D3" w:rsidP="00D77D8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0D3" w:rsidRPr="004470D3" w:rsidRDefault="004470D3" w:rsidP="00D77D8E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4470D3" w:rsidRPr="004470D3" w:rsidRDefault="004470D3" w:rsidP="00D77D8E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0D3" w:rsidRPr="004470D3" w:rsidRDefault="004470D3" w:rsidP="00D77D8E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0D3" w:rsidRPr="004470D3" w:rsidRDefault="004470D3" w:rsidP="00D77D8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0D3" w:rsidRPr="004470D3" w:rsidRDefault="004470D3" w:rsidP="00D77D8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0D3" w:rsidRPr="004470D3" w:rsidRDefault="004470D3" w:rsidP="00D77D8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1373E0" w:rsidRPr="008A3A39" w:rsidTr="00EB3631">
        <w:trPr>
          <w:trHeight w:val="446"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3E0" w:rsidRPr="004470D3" w:rsidRDefault="001373E0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3E0" w:rsidRPr="00F574BD" w:rsidRDefault="001373E0" w:rsidP="0085747F">
            <w:r w:rsidRPr="00F574BD">
              <w:rPr>
                <w:rFonts w:hint="eastAsia"/>
              </w:rPr>
              <w:t>蘇麗圓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3E0" w:rsidRPr="00F574BD" w:rsidRDefault="001373E0" w:rsidP="0085747F">
            <w:r w:rsidRPr="00F574BD">
              <w:rPr>
                <w:rFonts w:hint="eastAsia"/>
              </w:rPr>
              <w:t>三乙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3E0" w:rsidRPr="00F574BD" w:rsidRDefault="001373E0" w:rsidP="0085747F">
            <w:r w:rsidRPr="00F574BD">
              <w:rPr>
                <w:rFonts w:hint="eastAsia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3E0" w:rsidRPr="00F574BD" w:rsidRDefault="001373E0" w:rsidP="0085747F">
            <w:r w:rsidRPr="00F574BD">
              <w:rPr>
                <w:rFonts w:hint="eastAsia"/>
              </w:rPr>
              <w:t>112/3/7</w:t>
            </w:r>
            <w:r w:rsidRPr="00F574BD">
              <w:rPr>
                <w:rFonts w:hint="eastAsia"/>
              </w:rPr>
              <w:t>第二節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3E0" w:rsidRPr="00F574BD" w:rsidRDefault="001373E0" w:rsidP="0085747F">
            <w:r w:rsidRPr="00F574BD">
              <w:rPr>
                <w:rFonts w:hint="eastAsia"/>
              </w:rPr>
              <w:t>林照贏、婁鳳娥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3E0" w:rsidRPr="004470D3" w:rsidRDefault="001373E0" w:rsidP="00D77D8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1373E0" w:rsidRPr="008A3A39" w:rsidTr="005D6370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3E0" w:rsidRPr="004470D3" w:rsidRDefault="001373E0" w:rsidP="005D6370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3E0" w:rsidRPr="00F574BD" w:rsidRDefault="001373E0" w:rsidP="005D6370">
            <w:r w:rsidRPr="00F574BD">
              <w:rPr>
                <w:rFonts w:hint="eastAsia"/>
              </w:rPr>
              <w:t>林照瀛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3E0" w:rsidRPr="00F574BD" w:rsidRDefault="001373E0" w:rsidP="005D6370">
            <w:r w:rsidRPr="00F574BD">
              <w:rPr>
                <w:rFonts w:hint="eastAsia"/>
              </w:rPr>
              <w:t>三丙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3E0" w:rsidRPr="00F574BD" w:rsidRDefault="001373E0" w:rsidP="005D6370">
            <w:r w:rsidRPr="00F574BD">
              <w:rPr>
                <w:rFonts w:hint="eastAsia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3E0" w:rsidRPr="00F574BD" w:rsidRDefault="001373E0" w:rsidP="005D6370">
            <w:r w:rsidRPr="00F574BD">
              <w:rPr>
                <w:rFonts w:hint="eastAsia"/>
              </w:rPr>
              <w:t>112/3/8</w:t>
            </w:r>
            <w:r w:rsidRPr="00F574BD">
              <w:rPr>
                <w:rFonts w:hint="eastAsia"/>
              </w:rPr>
              <w:t>第四節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3E0" w:rsidRDefault="001373E0" w:rsidP="005D6370">
            <w:r w:rsidRPr="00F574BD">
              <w:rPr>
                <w:rFonts w:hint="eastAsia"/>
              </w:rPr>
              <w:t>蘇麗圓、婁鳳娥</w:t>
            </w:r>
          </w:p>
          <w:p w:rsidR="005D6370" w:rsidRDefault="005D6370" w:rsidP="005D6370">
            <w:r>
              <w:rPr>
                <w:rFonts w:hint="eastAsia"/>
              </w:rPr>
              <w:t>李麗貞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3E0" w:rsidRPr="004470D3" w:rsidRDefault="001373E0" w:rsidP="005D637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4470D3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4470D3" w:rsidRDefault="004470D3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EB3631" w:rsidRDefault="00EB3631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周慧香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EB3631" w:rsidRDefault="00EB3631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 w:rsidRPr="00EB3631">
              <w:rPr>
                <w:rFonts w:ascii="新細明體" w:hAnsi="新細明體" w:hint="eastAsia"/>
                <w:color w:val="auto"/>
                <w:sz w:val="24"/>
                <w:szCs w:val="24"/>
              </w:rPr>
              <w:t>三年級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EB3631" w:rsidRDefault="00EB3631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 w:rsidRPr="00EB3631">
              <w:rPr>
                <w:rFonts w:ascii="新細明體" w:hAnsi="新細明體" w:hint="eastAsia"/>
                <w:color w:val="auto"/>
                <w:sz w:val="24"/>
                <w:szCs w:val="24"/>
              </w:rPr>
              <w:t>阿美族語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EB3631" w:rsidP="00D77D8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CD6030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11</w:t>
            </w:r>
            <w:r w:rsidR="00CD6030" w:rsidRPr="00CD6030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2</w:t>
            </w:r>
            <w:r w:rsidR="00FE7D92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/5/11</w:t>
            </w:r>
            <w:r w:rsidRPr="00CD6030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第三節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EB3631" w:rsidRDefault="00EB3631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 w:rsidRPr="00EB3631">
              <w:rPr>
                <w:rFonts w:ascii="新細明體" w:hAnsi="新細明體" w:hint="eastAsia"/>
                <w:color w:val="auto"/>
                <w:sz w:val="24"/>
                <w:szCs w:val="24"/>
              </w:rPr>
              <w:t>陳春蔭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4470D3" w:rsidRDefault="004470D3" w:rsidP="00D77D8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4470D3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4470D3" w:rsidRDefault="004470D3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CD6030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 w:rsidRPr="00CD6030">
              <w:rPr>
                <w:rFonts w:ascii="新細明體" w:hAnsi="新細明體"/>
                <w:color w:val="auto"/>
                <w:sz w:val="24"/>
                <w:szCs w:val="24"/>
              </w:rPr>
              <w:t>陳貞良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CD6030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三</w:t>
            </w:r>
            <w:r w:rsidR="00907C14">
              <w:rPr>
                <w:rFonts w:ascii="新細明體" w:hAnsi="新細明體"/>
                <w:color w:val="auto"/>
                <w:sz w:val="24"/>
                <w:szCs w:val="24"/>
              </w:rPr>
              <w:t>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CD6030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自然科學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CD6030" w:rsidP="00CD6030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CD6030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112/</w:t>
            </w:r>
            <w:r w:rsidR="002F13A3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  <w:r w:rsidRPr="00CD6030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/28</w:t>
            </w:r>
            <w:r w:rsidRPr="00CD6030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第四節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CD6030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林佩宜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4470D3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4470D3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4470D3" w:rsidRDefault="004470D3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BE6627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李麗貞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BE6627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四甲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BE6627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BE6627" w:rsidP="00D77D8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112/3/28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第二節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BE6627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劉郁芸、朱</w:t>
            </w:r>
            <w:r w:rsidR="002F2422">
              <w:rPr>
                <w:rFonts w:ascii="新細明體" w:hAnsi="新細明體" w:hint="eastAsia"/>
                <w:color w:val="auto"/>
                <w:sz w:val="24"/>
                <w:szCs w:val="24"/>
              </w:rPr>
              <w:t>婕</w:t>
            </w: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儀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4470D3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4470D3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4470D3" w:rsidRDefault="004470D3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2F2422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朱婕儀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2F2422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四丙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2F2422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2F2422" w:rsidP="00D77D8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112/3/30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第二節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2F2422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李麗貞、劉郁芸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D3" w:rsidRPr="00CD6030" w:rsidRDefault="004470D3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F3094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4470D3" w:rsidRDefault="008F3094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84341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陳麗婷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84341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一乙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CD3591" w:rsidP="0084341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84341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112/3/29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第二節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5B3EF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王貞几、梁雯婷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F3094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4470D3" w:rsidRDefault="008F3094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王貞几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一甲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CD3591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國語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5B3EF4" w:rsidP="0084341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112/5/3</w:t>
            </w:r>
            <w:r w:rsidR="008F3094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第二節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5B3EF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陳麗婷</w:t>
            </w:r>
            <w:r w:rsidRPr="005B3EF4">
              <w:rPr>
                <w:rFonts w:ascii="新細明體" w:hAnsi="新細明體" w:hint="eastAsia"/>
                <w:color w:val="auto"/>
                <w:sz w:val="24"/>
                <w:szCs w:val="24"/>
              </w:rPr>
              <w:t>、梁雯婷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F3094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4470D3" w:rsidRDefault="008F3094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84341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梁雯婷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84341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一丙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84341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國語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84341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/5/30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第三節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5B3EF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王貞几、陳麗婷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F3094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4470D3" w:rsidRDefault="008F3094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35421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鄭靜慧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35421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四乙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35421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音樂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21A" w:rsidRPr="00CD6030" w:rsidRDefault="0035421A" w:rsidP="00D77D8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112/5/23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第三節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35421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劉郁芸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F3094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4470D3" w:rsidRDefault="008F3094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0C58A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蕭凱文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0C58A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二丙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0C58A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國語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0C58AA" w:rsidP="00D77D8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112/4/26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第二節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0C58A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黃麗鳳、康春菊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F3094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4470D3" w:rsidRDefault="008F3094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FF3B8D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蔡佩芬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FF3B8D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FF3B8D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彈性-自主學習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FF3B8D" w:rsidP="00D77D8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112/4/26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第二節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FF3B8D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梁雯婷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F3094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4470D3" w:rsidRDefault="008F3094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AC7565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張詩紋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AC7565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四丙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AC7565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英語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AC7565" w:rsidP="00D77D8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112/4/26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第四節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673221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朱婕儀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F3094" w:rsidRPr="008A3A39" w:rsidTr="00EB3631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4470D3" w:rsidRDefault="008F3094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181267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陳俊能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181267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三甲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181267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181267" w:rsidP="00D77D8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112/5/30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第三節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673221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歡迎全體教職員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0C1006" w:rsidRPr="008A3A39" w:rsidTr="00EB3631">
        <w:trPr>
          <w:trHeight w:val="53"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6" w:rsidRPr="004470D3" w:rsidRDefault="000C1006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4470D3">
              <w:rPr>
                <w:rFonts w:eastAsia="標楷體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6" w:rsidRPr="00226C2F" w:rsidRDefault="000C1006" w:rsidP="007C5712">
            <w:r w:rsidRPr="00226C2F">
              <w:rPr>
                <w:rFonts w:hint="eastAsia"/>
              </w:rPr>
              <w:t>林佩宜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6" w:rsidRPr="00226C2F" w:rsidRDefault="000C1006" w:rsidP="007C5712">
            <w:r w:rsidRPr="00226C2F">
              <w:rPr>
                <w:rFonts w:hint="eastAsia"/>
              </w:rPr>
              <w:t>四乙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6" w:rsidRPr="00226C2F" w:rsidRDefault="000C1006" w:rsidP="007C5712">
            <w:r w:rsidRPr="00226C2F">
              <w:rPr>
                <w:rFonts w:hint="eastAsia"/>
              </w:rPr>
              <w:t>自然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6" w:rsidRPr="00226C2F" w:rsidRDefault="000C1006" w:rsidP="007C5712">
            <w:r w:rsidRPr="00226C2F">
              <w:rPr>
                <w:rFonts w:hint="eastAsia"/>
              </w:rPr>
              <w:t xml:space="preserve">112/5/5 </w:t>
            </w:r>
            <w:r w:rsidRPr="00226C2F">
              <w:rPr>
                <w:rFonts w:hint="eastAsia"/>
              </w:rPr>
              <w:t>第三節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6" w:rsidRDefault="000C1006" w:rsidP="007C5712">
            <w:r w:rsidRPr="00226C2F">
              <w:rPr>
                <w:rFonts w:hint="eastAsia"/>
              </w:rPr>
              <w:t>陳貞良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6" w:rsidRPr="00CD6030" w:rsidRDefault="000C1006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F9659A" w:rsidRPr="008A3A39" w:rsidTr="00EB3631">
        <w:trPr>
          <w:trHeight w:val="53"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59A" w:rsidRPr="004470D3" w:rsidRDefault="00F9659A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59A" w:rsidRDefault="00F9659A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康春菊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59A" w:rsidRDefault="00F9659A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二乙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59A" w:rsidRDefault="00F9659A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59A" w:rsidRDefault="00F9659A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112/4/21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第二節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59A" w:rsidRDefault="00F9659A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黃麗鳳 蕭凱文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59A" w:rsidRPr="00CD6030" w:rsidRDefault="00F9659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F3094" w:rsidRPr="008A3A39" w:rsidTr="00EB3631">
        <w:trPr>
          <w:trHeight w:val="53"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4470D3" w:rsidRDefault="00F9659A" w:rsidP="00D77D8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A5663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莊瑞芬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A5663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四丙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A5663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體育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A5663" w:rsidP="00D77D8E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/</w:t>
            </w:r>
            <w:r w:rsidR="000B07AA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4/24</w:t>
            </w:r>
            <w:r w:rsidR="000B07AA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第三節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0B07AA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莊國鑫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94" w:rsidRPr="00CD6030" w:rsidRDefault="008F3094" w:rsidP="00D77D8E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465B01" w:rsidRPr="008A3A39" w:rsidTr="00EB3631">
        <w:trPr>
          <w:trHeight w:val="53"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01" w:rsidRPr="004470D3" w:rsidRDefault="00465B01" w:rsidP="00465B0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01" w:rsidRPr="00CD6030" w:rsidRDefault="00465B01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許春明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01" w:rsidRPr="00CD6030" w:rsidRDefault="00465B01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四丙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01" w:rsidRPr="00CD6030" w:rsidRDefault="00465B01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彈性-永續迴響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01" w:rsidRPr="00CD6030" w:rsidRDefault="00465B01" w:rsidP="00465B01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/4/10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第二節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01" w:rsidRPr="00CD6030" w:rsidRDefault="00465B01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陳春蔭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01" w:rsidRPr="00CD6030" w:rsidRDefault="00465B01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5B38F7" w:rsidRPr="008A3A39" w:rsidTr="00EB3631">
        <w:trPr>
          <w:trHeight w:val="53"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F7" w:rsidRDefault="005B38F7" w:rsidP="00465B0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F7" w:rsidRDefault="005B38F7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黃麗鳳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F7" w:rsidRDefault="005B38F7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二甲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F7" w:rsidRDefault="005B38F7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F7" w:rsidRDefault="005B38F7" w:rsidP="005B38F7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673221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 xml:space="preserve">112/5/2 </w:t>
            </w:r>
            <w:r w:rsidRPr="00673221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第三節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F7" w:rsidRPr="00673221" w:rsidRDefault="005B38F7" w:rsidP="005B38F7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673221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康春菊、蕭凱文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F7" w:rsidRPr="00CD6030" w:rsidRDefault="005B38F7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673221" w:rsidRPr="008A3A39" w:rsidTr="00EB3631">
        <w:trPr>
          <w:trHeight w:val="53"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221" w:rsidRDefault="00673221" w:rsidP="00465B01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221" w:rsidRDefault="00673221" w:rsidP="00465B01">
            <w:pPr>
              <w:pStyle w:val="1"/>
              <w:widowControl/>
              <w:rPr>
                <w:rFonts w:ascii="新細明體" w:hAnsi="新細明體" w:hint="eastAsia"/>
                <w:color w:val="auto"/>
                <w:sz w:val="24"/>
                <w:szCs w:val="24"/>
              </w:rPr>
            </w:pPr>
            <w:r w:rsidRPr="00CD6030">
              <w:rPr>
                <w:rFonts w:ascii="新細明體" w:hAnsi="新細明體"/>
                <w:color w:val="auto"/>
                <w:sz w:val="24"/>
                <w:szCs w:val="24"/>
              </w:rPr>
              <w:t>陳貞良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221" w:rsidRDefault="00673221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六乙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221" w:rsidRDefault="00673221" w:rsidP="00465B01">
            <w:pPr>
              <w:pStyle w:val="1"/>
              <w:widowControl/>
              <w:rPr>
                <w:rFonts w:ascii="新細明體" w:hAnsi="新細明體" w:hint="eastAsia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藝文-視覺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221" w:rsidRDefault="00673221" w:rsidP="00673221">
            <w:pPr>
              <w:pStyle w:val="1"/>
              <w:widowControl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673221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112/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4</w:t>
            </w:r>
            <w:r w:rsidRPr="00673221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4</w:t>
            </w:r>
            <w:r w:rsidRPr="00673221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五</w:t>
            </w:r>
            <w:r w:rsidRPr="00673221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221" w:rsidRPr="00673221" w:rsidRDefault="008E1839" w:rsidP="005B38F7">
            <w:pPr>
              <w:pStyle w:val="1"/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東華大學教授及同仁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221" w:rsidRPr="00CD6030" w:rsidRDefault="00673221" w:rsidP="00465B01">
            <w:pPr>
              <w:pStyle w:val="1"/>
              <w:widowControl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673221" w:rsidRPr="008A3A39" w:rsidTr="004470D3">
        <w:trPr>
          <w:trHeight w:val="1267"/>
          <w:jc w:val="center"/>
        </w:trPr>
        <w:tc>
          <w:tcPr>
            <w:tcW w:w="9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221" w:rsidRPr="008A3A39" w:rsidRDefault="00673221" w:rsidP="00465B01">
            <w:pPr>
              <w:pStyle w:val="1"/>
              <w:spacing w:line="360" w:lineRule="auto"/>
              <w:ind w:left="526" w:hanging="526"/>
              <w:rPr>
                <w:rFonts w:eastAsia="標楷體"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color w:val="auto"/>
                <w:sz w:val="28"/>
                <w:szCs w:val="28"/>
              </w:rPr>
              <w:t>備註：</w:t>
            </w:r>
          </w:p>
          <w:p w:rsidR="00673221" w:rsidRPr="008A3A39" w:rsidRDefault="00673221" w:rsidP="00465B01">
            <w:pPr>
              <w:pStyle w:val="1"/>
              <w:spacing w:line="360" w:lineRule="auto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一、請各位老師自行選填一週次公開授課者，</w:t>
            </w:r>
            <w:r w:rsidRPr="00CD6030">
              <w:rPr>
                <w:rFonts w:eastAsia="標楷體"/>
                <w:color w:val="FF0000"/>
                <w:sz w:val="24"/>
                <w:szCs w:val="24"/>
              </w:rPr>
              <w:t>每位老師</w:t>
            </w:r>
            <w:r w:rsidRPr="00CD6030">
              <w:rPr>
                <w:rFonts w:eastAsia="標楷體"/>
                <w:b/>
                <w:color w:val="FF0000"/>
                <w:sz w:val="24"/>
                <w:szCs w:val="24"/>
              </w:rPr>
              <w:t>1</w:t>
            </w:r>
            <w:r w:rsidRPr="00CD6030">
              <w:rPr>
                <w:rFonts w:eastAsia="標楷體"/>
                <w:color w:val="FF0000"/>
                <w:sz w:val="24"/>
                <w:szCs w:val="24"/>
              </w:rPr>
              <w:t>場教學，</w:t>
            </w:r>
            <w:r w:rsidRPr="00CD6030">
              <w:rPr>
                <w:rFonts w:eastAsia="標楷體"/>
                <w:b/>
                <w:color w:val="FF0000"/>
                <w:sz w:val="24"/>
                <w:szCs w:val="24"/>
              </w:rPr>
              <w:t>2</w:t>
            </w:r>
            <w:r w:rsidRPr="00CD6030">
              <w:rPr>
                <w:rFonts w:eastAsia="標楷體"/>
                <w:color w:val="FF0000"/>
                <w:sz w:val="24"/>
                <w:szCs w:val="24"/>
              </w:rPr>
              <w:t>場觀摩他人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673221" w:rsidRPr="008A3A39" w:rsidRDefault="00673221" w:rsidP="00465B01">
            <w:pPr>
              <w:pStyle w:val="1"/>
              <w:spacing w:line="360" w:lineRule="auto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二、</w:t>
            </w:r>
            <w:r w:rsidRPr="00CD6030">
              <w:rPr>
                <w:rFonts w:eastAsia="標楷體"/>
                <w:color w:val="FF0000"/>
                <w:sz w:val="24"/>
                <w:szCs w:val="24"/>
              </w:rPr>
              <w:t>教學者要交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】教學活動</w:t>
            </w:r>
            <w:r w:rsidRPr="00CD6030">
              <w:rPr>
                <w:rFonts w:eastAsia="標楷體"/>
                <w:color w:val="FF0000"/>
                <w:sz w:val="24"/>
                <w:szCs w:val="24"/>
              </w:rPr>
              <w:t>設計單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（電子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檔）、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】公開授課</w:t>
            </w:r>
            <w:r w:rsidRPr="00CD6030">
              <w:rPr>
                <w:rFonts w:eastAsia="標楷體"/>
                <w:color w:val="FF0000"/>
                <w:sz w:val="24"/>
                <w:szCs w:val="24"/>
              </w:rPr>
              <w:t>自評表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；</w:t>
            </w:r>
            <w:r w:rsidRPr="00CD6030">
              <w:rPr>
                <w:rFonts w:eastAsia="標楷體"/>
                <w:color w:val="0000FF"/>
                <w:sz w:val="24"/>
                <w:szCs w:val="24"/>
              </w:rPr>
              <w:t>觀課者要交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-3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】教師同儕</w:t>
            </w:r>
            <w:r w:rsidRPr="00CD6030">
              <w:rPr>
                <w:rFonts w:eastAsia="標楷體"/>
                <w:color w:val="0000FF"/>
                <w:sz w:val="24"/>
                <w:szCs w:val="24"/>
              </w:rPr>
              <w:t>學習活動照片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、【附錄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-4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】公開授課</w:t>
            </w:r>
            <w:r w:rsidRPr="00CD6030">
              <w:rPr>
                <w:rFonts w:eastAsia="標楷體"/>
                <w:color w:val="0000FF"/>
                <w:sz w:val="24"/>
                <w:szCs w:val="24"/>
              </w:rPr>
              <w:t>觀課紀錄表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673221" w:rsidRPr="008A3A39" w:rsidRDefault="00673221" w:rsidP="00465B01">
            <w:pPr>
              <w:pStyle w:val="1"/>
              <w:spacing w:line="360" w:lineRule="auto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三、教學活動設計請於教學前一週，回傳電子檔給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課研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組長。</w:t>
            </w:r>
          </w:p>
          <w:p w:rsidR="00673221" w:rsidRDefault="00673221" w:rsidP="00465B01">
            <w:pPr>
              <w:pStyle w:val="1"/>
              <w:spacing w:line="360" w:lineRule="auto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四、節次的規劃是上午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  <w:p w:rsidR="00673221" w:rsidRPr="00CD6030" w:rsidRDefault="00673221" w:rsidP="00465B01">
            <w:pPr>
              <w:pStyle w:val="1"/>
              <w:spacing w:line="360" w:lineRule="auto"/>
              <w:ind w:left="451" w:hanging="451"/>
              <w:rPr>
                <w:rFonts w:eastAsia="標楷體"/>
                <w:b/>
                <w:color w:val="FF0000"/>
                <w:sz w:val="24"/>
                <w:szCs w:val="24"/>
              </w:rPr>
            </w:pPr>
            <w:r w:rsidRPr="00CD6030">
              <w:rPr>
                <w:rFonts w:eastAsia="標楷體" w:hint="eastAsia"/>
                <w:b/>
                <w:color w:val="FF0000"/>
                <w:sz w:val="24"/>
                <w:szCs w:val="24"/>
              </w:rPr>
              <w:t>五、請於本學期5月底前教學完成並完成相關表單上傳，謝謝大家!</w:t>
            </w:r>
          </w:p>
        </w:tc>
      </w:tr>
    </w:tbl>
    <w:p w:rsidR="00D77D8E" w:rsidRPr="004470D3" w:rsidRDefault="00D77D8E">
      <w:bookmarkStart w:id="0" w:name="_GoBack"/>
      <w:bookmarkEnd w:id="0"/>
    </w:p>
    <w:sectPr w:rsidR="00D77D8E" w:rsidRPr="004470D3" w:rsidSect="004470D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2B" w:rsidRDefault="00D8302B" w:rsidP="00A653A8">
      <w:r>
        <w:separator/>
      </w:r>
    </w:p>
  </w:endnote>
  <w:endnote w:type="continuationSeparator" w:id="0">
    <w:p w:rsidR="00D8302B" w:rsidRDefault="00D8302B" w:rsidP="00A6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2B" w:rsidRDefault="00D8302B" w:rsidP="00A653A8">
      <w:r>
        <w:separator/>
      </w:r>
    </w:p>
  </w:footnote>
  <w:footnote w:type="continuationSeparator" w:id="0">
    <w:p w:rsidR="00D8302B" w:rsidRDefault="00D8302B" w:rsidP="00A65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0D3"/>
    <w:rsid w:val="000B07AA"/>
    <w:rsid w:val="000C1006"/>
    <w:rsid w:val="000C58AA"/>
    <w:rsid w:val="001373E0"/>
    <w:rsid w:val="001534FF"/>
    <w:rsid w:val="00172448"/>
    <w:rsid w:val="00181267"/>
    <w:rsid w:val="002022A5"/>
    <w:rsid w:val="00296A32"/>
    <w:rsid w:val="002F13A3"/>
    <w:rsid w:val="002F2422"/>
    <w:rsid w:val="0035421A"/>
    <w:rsid w:val="00386DE3"/>
    <w:rsid w:val="003E77D8"/>
    <w:rsid w:val="004470D3"/>
    <w:rsid w:val="00465B01"/>
    <w:rsid w:val="005A685A"/>
    <w:rsid w:val="005B38F7"/>
    <w:rsid w:val="005B3EF4"/>
    <w:rsid w:val="005D6370"/>
    <w:rsid w:val="005D69BE"/>
    <w:rsid w:val="0061512A"/>
    <w:rsid w:val="00673221"/>
    <w:rsid w:val="00730EB8"/>
    <w:rsid w:val="007955C5"/>
    <w:rsid w:val="0085747F"/>
    <w:rsid w:val="008A5663"/>
    <w:rsid w:val="008E1839"/>
    <w:rsid w:val="008F3094"/>
    <w:rsid w:val="00907C14"/>
    <w:rsid w:val="009253C1"/>
    <w:rsid w:val="00A13037"/>
    <w:rsid w:val="00A653A8"/>
    <w:rsid w:val="00AC24D7"/>
    <w:rsid w:val="00AC7565"/>
    <w:rsid w:val="00B54A16"/>
    <w:rsid w:val="00B955C2"/>
    <w:rsid w:val="00BE6627"/>
    <w:rsid w:val="00CD3591"/>
    <w:rsid w:val="00CD6030"/>
    <w:rsid w:val="00D05C8A"/>
    <w:rsid w:val="00D77D8E"/>
    <w:rsid w:val="00D8302B"/>
    <w:rsid w:val="00EB3631"/>
    <w:rsid w:val="00F32B08"/>
    <w:rsid w:val="00F9659A"/>
    <w:rsid w:val="00FE7D92"/>
    <w:rsid w:val="00FF3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D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4470D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65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653A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65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653A8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dcterms:created xsi:type="dcterms:W3CDTF">2023-03-10T07:39:00Z</dcterms:created>
  <dcterms:modified xsi:type="dcterms:W3CDTF">2023-03-14T07:00:00Z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180177846</vt:i4>
  </property>
</Properties>
</file>