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9E" w:rsidRDefault="00BD6D9E" w:rsidP="000E511F">
      <w:pPr>
        <w:snapToGrid w:val="0"/>
        <w:spacing w:line="400" w:lineRule="exact"/>
        <w:jc w:val="center"/>
        <w:rPr>
          <w:rFonts w:ascii="標楷體" w:eastAsia="標楷體" w:hAnsi="標楷體"/>
          <w:b/>
          <w:sz w:val="32"/>
        </w:rPr>
      </w:pPr>
      <w:r>
        <w:rPr>
          <w:rFonts w:ascii="標楷體" w:eastAsia="標楷體" w:hAnsi="標楷體"/>
          <w:b/>
          <w:sz w:val="32"/>
        </w:rPr>
        <w:t>105</w:t>
      </w:r>
      <w:r>
        <w:rPr>
          <w:rFonts w:ascii="標楷體" w:eastAsia="標楷體" w:hAnsi="標楷體" w:hint="eastAsia"/>
          <w:b/>
          <w:sz w:val="32"/>
        </w:rPr>
        <w:t>學年度花蓮縣國小數學教師數學奠基活動研習計畫</w:t>
      </w:r>
    </w:p>
    <w:p w:rsidR="00BD6D9E" w:rsidRDefault="00BD6D9E" w:rsidP="000E511F">
      <w:pPr>
        <w:snapToGrid w:val="0"/>
        <w:spacing w:line="520" w:lineRule="exact"/>
        <w:rPr>
          <w:rFonts w:ascii="標楷體" w:eastAsia="標楷體" w:hAnsi="標楷體"/>
          <w:sz w:val="28"/>
        </w:rPr>
      </w:pPr>
      <w:r>
        <w:rPr>
          <w:rFonts w:ascii="標楷體" w:eastAsia="標楷體" w:hAnsi="標楷體" w:hint="eastAsia"/>
          <w:sz w:val="28"/>
        </w:rPr>
        <w:t>壹、依據</w:t>
      </w:r>
    </w:p>
    <w:p w:rsidR="00BD6D9E" w:rsidRDefault="00BD6D9E" w:rsidP="000E511F">
      <w:pPr>
        <w:snapToGrid w:val="0"/>
        <w:ind w:left="1046" w:hanging="568"/>
        <w:jc w:val="both"/>
        <w:rPr>
          <w:rFonts w:eastAsia="標楷體"/>
          <w:sz w:val="28"/>
        </w:rPr>
      </w:pPr>
      <w:r>
        <w:rPr>
          <w:rFonts w:ascii="標楷體" w:eastAsia="標楷體" w:hAnsi="標楷體" w:hint="eastAsia"/>
          <w:sz w:val="28"/>
        </w:rPr>
        <w:t>一</w:t>
      </w:r>
      <w:r>
        <w:rPr>
          <w:rFonts w:eastAsia="標楷體" w:hint="eastAsia"/>
          <w:sz w:val="28"/>
        </w:rPr>
        <w:t>、建構中央與地方教學輔導網絡實施方案。</w:t>
      </w:r>
    </w:p>
    <w:p w:rsidR="00BD6D9E" w:rsidRDefault="00BD6D9E" w:rsidP="000E511F">
      <w:pPr>
        <w:snapToGrid w:val="0"/>
        <w:ind w:left="1046" w:hanging="568"/>
        <w:jc w:val="both"/>
        <w:rPr>
          <w:rFonts w:eastAsia="標楷體"/>
          <w:sz w:val="28"/>
        </w:rPr>
      </w:pPr>
      <w:r>
        <w:rPr>
          <w:rFonts w:eastAsia="標楷體" w:hint="eastAsia"/>
          <w:sz w:val="28"/>
        </w:rPr>
        <w:t>二、教育部國民及學</w:t>
      </w:r>
      <w:r>
        <w:rPr>
          <w:rFonts w:eastAsia="標楷體" w:hAnsi="標楷體" w:hint="eastAsia"/>
          <w:sz w:val="28"/>
        </w:rPr>
        <w:t>前教育署補助辦理十二年國民基本教育精進國民中小學教學品質要點。</w:t>
      </w:r>
    </w:p>
    <w:p w:rsidR="00BD6D9E" w:rsidRPr="00EF6E77" w:rsidRDefault="00BD6D9E" w:rsidP="00096D49">
      <w:pPr>
        <w:snapToGrid w:val="0"/>
        <w:spacing w:line="400" w:lineRule="exact"/>
        <w:ind w:left="980" w:hangingChars="350" w:hanging="980"/>
        <w:rPr>
          <w:rFonts w:ascii="標楷體" w:eastAsia="標楷體" w:hAnsi="標楷體"/>
          <w:sz w:val="28"/>
        </w:rPr>
      </w:pPr>
      <w:r>
        <w:rPr>
          <w:rFonts w:eastAsia="標楷體"/>
          <w:sz w:val="28"/>
          <w:szCs w:val="28"/>
        </w:rPr>
        <w:t xml:space="preserve">   </w:t>
      </w:r>
      <w:r w:rsidRPr="00404B1D">
        <w:rPr>
          <w:rFonts w:eastAsia="標楷體" w:hint="eastAsia"/>
          <w:sz w:val="28"/>
          <w:szCs w:val="28"/>
        </w:rPr>
        <w:t>三、</w:t>
      </w:r>
      <w:r w:rsidRPr="00404B1D">
        <w:rPr>
          <w:rFonts w:ascii="標楷體" w:eastAsia="標楷體" w:hAnsi="標楷體"/>
          <w:sz w:val="28"/>
          <w:szCs w:val="28"/>
        </w:rPr>
        <w:t>105</w:t>
      </w:r>
      <w:r w:rsidRPr="00404B1D">
        <w:rPr>
          <w:rFonts w:ascii="標楷體" w:eastAsia="標楷體" w:hAnsi="標楷體" w:hint="eastAsia"/>
          <w:sz w:val="28"/>
          <w:szCs w:val="28"/>
        </w:rPr>
        <w:t>學年度課程與教學輔導組數學學習領域中央團點燈實施計畫</w:t>
      </w:r>
      <w:r w:rsidRPr="00404B1D">
        <w:rPr>
          <w:rFonts w:eastAsia="標楷體" w:hint="eastAsia"/>
          <w:sz w:val="28"/>
          <w:szCs w:val="28"/>
        </w:rPr>
        <w:t>。</w:t>
      </w:r>
    </w:p>
    <w:p w:rsidR="00BD6D9E" w:rsidRDefault="00BD6D9E" w:rsidP="000E511F">
      <w:pPr>
        <w:snapToGrid w:val="0"/>
        <w:spacing w:line="520" w:lineRule="exact"/>
        <w:rPr>
          <w:rFonts w:ascii="標楷體" w:eastAsia="標楷體" w:hAnsi="標楷體"/>
          <w:sz w:val="28"/>
        </w:rPr>
      </w:pPr>
      <w:r>
        <w:rPr>
          <w:rFonts w:ascii="標楷體" w:eastAsia="標楷體" w:hAnsi="標楷體" w:hint="eastAsia"/>
          <w:sz w:val="28"/>
        </w:rPr>
        <w:t>貳、目標</w:t>
      </w:r>
    </w:p>
    <w:p w:rsidR="00BD6D9E" w:rsidRDefault="00BD6D9E" w:rsidP="000E511F">
      <w:pPr>
        <w:snapToGrid w:val="0"/>
        <w:ind w:left="1046" w:hanging="568"/>
        <w:jc w:val="both"/>
        <w:rPr>
          <w:rFonts w:eastAsia="標楷體"/>
          <w:sz w:val="28"/>
        </w:rPr>
      </w:pPr>
      <w:r>
        <w:rPr>
          <w:rFonts w:eastAsia="標楷體" w:hint="eastAsia"/>
          <w:sz w:val="28"/>
        </w:rPr>
        <w:t>一、照顧資源弱勢地區，提供中央輔導團人力與教學資源，與地方團及學校教師形成夥伴關係，促進學校教育效能，以提升學生學習成效。</w:t>
      </w:r>
    </w:p>
    <w:p w:rsidR="00BD6D9E" w:rsidRDefault="00BD6D9E" w:rsidP="000E511F">
      <w:pPr>
        <w:snapToGrid w:val="0"/>
        <w:ind w:left="1046" w:hanging="568"/>
        <w:jc w:val="both"/>
        <w:rPr>
          <w:rFonts w:eastAsia="標楷體"/>
          <w:sz w:val="28"/>
        </w:rPr>
      </w:pPr>
      <w:r>
        <w:rPr>
          <w:rFonts w:eastAsia="標楷體" w:hint="eastAsia"/>
          <w:sz w:val="28"/>
        </w:rPr>
        <w:t>二、推動「輔導協作」方案，藉由中央團、縣市輔導團，共同帶領學校教師專業成長，落實中央、地方、學校三級輔導機制，達成數學領域之永續經營。</w:t>
      </w:r>
    </w:p>
    <w:p w:rsidR="00BD6D9E" w:rsidRDefault="00BD6D9E" w:rsidP="000E511F">
      <w:pPr>
        <w:snapToGrid w:val="0"/>
        <w:ind w:left="1046" w:hanging="568"/>
        <w:jc w:val="both"/>
        <w:rPr>
          <w:rFonts w:eastAsia="標楷體"/>
          <w:sz w:val="28"/>
        </w:rPr>
      </w:pPr>
      <w:r>
        <w:rPr>
          <w:rFonts w:eastAsia="標楷體" w:hint="eastAsia"/>
          <w:sz w:val="28"/>
        </w:rPr>
        <w:t>三、提升數學學習領域國中小教師補救教學之專業知能，並落實於實際教學，構築補救教學專業分享機制，促進教師專業社群成長。</w:t>
      </w:r>
    </w:p>
    <w:p w:rsidR="00BD6D9E" w:rsidRDefault="00BD6D9E" w:rsidP="007C3B93">
      <w:pPr>
        <w:snapToGrid w:val="0"/>
        <w:ind w:left="1046" w:hanging="568"/>
        <w:jc w:val="both"/>
        <w:rPr>
          <w:rFonts w:ascii="標楷體" w:eastAsia="標楷體" w:hAnsi="標楷體"/>
          <w:sz w:val="28"/>
        </w:rPr>
      </w:pPr>
      <w:r>
        <w:rPr>
          <w:rFonts w:eastAsia="標楷體" w:hint="eastAsia"/>
          <w:sz w:val="28"/>
        </w:rPr>
        <w:t>四、積極導入國小數學具啟發性之教材、教案、有效教學策略，以及相關學術研究成果，提供數學教師教學新知。</w:t>
      </w:r>
    </w:p>
    <w:p w:rsidR="00BD6D9E" w:rsidRDefault="00BD6D9E" w:rsidP="000E511F">
      <w:pPr>
        <w:snapToGrid w:val="0"/>
        <w:ind w:left="560" w:hanging="560"/>
        <w:rPr>
          <w:rFonts w:ascii="標楷體" w:eastAsia="標楷體" w:hAnsi="標楷體"/>
          <w:sz w:val="28"/>
        </w:rPr>
      </w:pPr>
      <w:r>
        <w:rPr>
          <w:rFonts w:ascii="標楷體" w:eastAsia="標楷體" w:hAnsi="標楷體" w:hint="eastAsia"/>
          <w:sz w:val="28"/>
        </w:rPr>
        <w:t>參、指導單位：教育部國民教育暨學前教育署</w:t>
      </w:r>
    </w:p>
    <w:p w:rsidR="00BD6D9E" w:rsidRDefault="00BD6D9E" w:rsidP="000E511F">
      <w:pPr>
        <w:snapToGrid w:val="0"/>
        <w:ind w:left="560" w:hanging="56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主辦單位：數學領域中央課程與教學輔導諮詢團隊</w:t>
      </w:r>
      <w:r>
        <w:rPr>
          <w:rFonts w:ascii="標楷體" w:eastAsia="標楷體" w:hAnsi="標楷體"/>
          <w:sz w:val="28"/>
        </w:rPr>
        <w:t>(</w:t>
      </w:r>
      <w:r>
        <w:rPr>
          <w:rFonts w:ascii="標楷體" w:eastAsia="標楷體" w:hAnsi="標楷體" w:hint="eastAsia"/>
          <w:sz w:val="28"/>
        </w:rPr>
        <w:t>中央團</w:t>
      </w:r>
      <w:r>
        <w:rPr>
          <w:rFonts w:ascii="標楷體" w:eastAsia="標楷體" w:hAnsi="標楷體"/>
          <w:sz w:val="28"/>
        </w:rPr>
        <w:t>)</w:t>
      </w:r>
    </w:p>
    <w:p w:rsidR="00BD6D9E" w:rsidRDefault="00BD6D9E" w:rsidP="00404B1D">
      <w:pPr>
        <w:snapToGrid w:val="0"/>
        <w:ind w:left="48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夥伴縣市：花蓮縣國教輔導團</w:t>
      </w:r>
      <w:r>
        <w:rPr>
          <w:rFonts w:ascii="標楷體" w:eastAsia="標楷體" w:hAnsi="標楷體"/>
          <w:sz w:val="28"/>
        </w:rPr>
        <w:t>-</w:t>
      </w:r>
      <w:r>
        <w:rPr>
          <w:rFonts w:ascii="標楷體" w:eastAsia="標楷體" w:hAnsi="標楷體" w:hint="eastAsia"/>
          <w:sz w:val="28"/>
        </w:rPr>
        <w:t>數學領域輔導小組</w:t>
      </w:r>
      <w:r>
        <w:rPr>
          <w:rFonts w:ascii="標楷體" w:eastAsia="標楷體" w:hAnsi="標楷體"/>
          <w:sz w:val="28"/>
        </w:rPr>
        <w:br/>
        <w:t xml:space="preserve"> </w:t>
      </w:r>
      <w:r>
        <w:rPr>
          <w:rFonts w:ascii="標楷體" w:eastAsia="標楷體" w:hAnsi="標楷體" w:hint="eastAsia"/>
          <w:sz w:val="28"/>
        </w:rPr>
        <w:t>承辦學校：花蓮縣北埔國小</w:t>
      </w:r>
    </w:p>
    <w:p w:rsidR="00BD6D9E" w:rsidRDefault="00BD6D9E" w:rsidP="000E511F">
      <w:pPr>
        <w:snapToGrid w:val="0"/>
        <w:spacing w:before="180"/>
        <w:ind w:left="560" w:hanging="560"/>
        <w:rPr>
          <w:rFonts w:ascii="標楷體" w:eastAsia="標楷體" w:hAnsi="標楷體"/>
          <w:sz w:val="28"/>
        </w:rPr>
      </w:pPr>
      <w:r>
        <w:rPr>
          <w:rFonts w:ascii="標楷體" w:eastAsia="標楷體" w:hAnsi="標楷體" w:hint="eastAsia"/>
          <w:sz w:val="28"/>
        </w:rPr>
        <w:t>肆、研習對象</w:t>
      </w:r>
      <w:r>
        <w:rPr>
          <w:rFonts w:ascii="標楷體" w:eastAsia="標楷體" w:hAnsi="標楷體"/>
          <w:sz w:val="28"/>
        </w:rPr>
        <w:t>:</w:t>
      </w:r>
      <w:r>
        <w:rPr>
          <w:rFonts w:ascii="標楷體" w:eastAsia="標楷體" w:hAnsi="標楷體" w:hint="eastAsia"/>
          <w:sz w:val="28"/>
        </w:rPr>
        <w:t>花蓮縣國小數學教師</w:t>
      </w:r>
    </w:p>
    <w:p w:rsidR="00BD6D9E" w:rsidRDefault="00BD6D9E" w:rsidP="000E511F">
      <w:pPr>
        <w:snapToGrid w:val="0"/>
        <w:spacing w:before="180"/>
        <w:ind w:left="560" w:hanging="560"/>
        <w:rPr>
          <w:rFonts w:ascii="標楷體" w:eastAsia="標楷體" w:hAnsi="標楷體"/>
          <w:sz w:val="28"/>
        </w:rPr>
      </w:pPr>
      <w:r>
        <w:rPr>
          <w:rFonts w:ascii="標楷體" w:eastAsia="標楷體" w:hAnsi="標楷體" w:hint="eastAsia"/>
          <w:sz w:val="28"/>
        </w:rPr>
        <w:t>伍、研習課表</w:t>
      </w:r>
    </w:p>
    <w:tbl>
      <w:tblPr>
        <w:tblW w:w="8337"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6"/>
        <w:gridCol w:w="2350"/>
        <w:gridCol w:w="2243"/>
        <w:gridCol w:w="2268"/>
      </w:tblGrid>
      <w:tr w:rsidR="00BD6D9E" w:rsidTr="008E3A1F">
        <w:tc>
          <w:tcPr>
            <w:tcW w:w="1476"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hint="eastAsia"/>
                <w:sz w:val="28"/>
              </w:rPr>
              <w:t>日期</w:t>
            </w:r>
          </w:p>
        </w:tc>
        <w:tc>
          <w:tcPr>
            <w:tcW w:w="2350" w:type="dxa"/>
          </w:tcPr>
          <w:p w:rsidR="00BD6D9E" w:rsidRPr="008E3A1F" w:rsidRDefault="00BD6D9E" w:rsidP="008E3A1F">
            <w:pPr>
              <w:snapToGrid w:val="0"/>
              <w:spacing w:before="180"/>
              <w:jc w:val="center"/>
              <w:rPr>
                <w:rFonts w:ascii="標楷體" w:eastAsia="標楷體" w:hAnsi="標楷體"/>
                <w:sz w:val="28"/>
              </w:rPr>
            </w:pPr>
            <w:r w:rsidRPr="008E3A1F">
              <w:rPr>
                <w:rFonts w:ascii="標楷體" w:eastAsia="標楷體" w:hAnsi="標楷體" w:hint="eastAsia"/>
                <w:sz w:val="28"/>
              </w:rPr>
              <w:t>時間</w:t>
            </w:r>
          </w:p>
        </w:tc>
        <w:tc>
          <w:tcPr>
            <w:tcW w:w="2243" w:type="dxa"/>
          </w:tcPr>
          <w:p w:rsidR="00BD6D9E" w:rsidRPr="008E3A1F" w:rsidRDefault="00BD6D9E" w:rsidP="008E3A1F">
            <w:pPr>
              <w:snapToGrid w:val="0"/>
              <w:spacing w:before="180"/>
              <w:jc w:val="center"/>
              <w:rPr>
                <w:rFonts w:ascii="標楷體" w:eastAsia="標楷體" w:hAnsi="標楷體"/>
                <w:sz w:val="28"/>
              </w:rPr>
            </w:pPr>
            <w:r w:rsidRPr="008E3A1F">
              <w:rPr>
                <w:rFonts w:ascii="標楷體" w:eastAsia="標楷體" w:hAnsi="標楷體" w:hint="eastAsia"/>
                <w:sz w:val="28"/>
              </w:rPr>
              <w:t>課程名稱</w:t>
            </w:r>
          </w:p>
        </w:tc>
        <w:tc>
          <w:tcPr>
            <w:tcW w:w="2268"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hint="eastAsia"/>
                <w:sz w:val="28"/>
              </w:rPr>
              <w:t>授課教授</w:t>
            </w:r>
          </w:p>
        </w:tc>
      </w:tr>
      <w:tr w:rsidR="00BD6D9E" w:rsidTr="008E3A1F">
        <w:tc>
          <w:tcPr>
            <w:tcW w:w="1476"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sz w:val="28"/>
              </w:rPr>
              <w:t>106.04.08</w:t>
            </w:r>
          </w:p>
        </w:tc>
        <w:tc>
          <w:tcPr>
            <w:tcW w:w="2350"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sz w:val="28"/>
              </w:rPr>
              <w:t>0900~1200</w:t>
            </w:r>
            <w:r w:rsidRPr="008E3A1F">
              <w:rPr>
                <w:rFonts w:ascii="標楷體" w:eastAsia="標楷體" w:hAnsi="標楷體" w:hint="eastAsia"/>
                <w:sz w:val="28"/>
              </w:rPr>
              <w:t>，</w:t>
            </w:r>
            <w:r w:rsidRPr="008E3A1F">
              <w:rPr>
                <w:rFonts w:ascii="標楷體" w:eastAsia="標楷體" w:hAnsi="標楷體"/>
                <w:sz w:val="28"/>
              </w:rPr>
              <w:t>1300~1600</w:t>
            </w:r>
          </w:p>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hint="eastAsia"/>
                <w:sz w:val="28"/>
              </w:rPr>
              <w:t>合計</w:t>
            </w:r>
            <w:r w:rsidRPr="008E3A1F">
              <w:rPr>
                <w:rFonts w:ascii="標楷體" w:eastAsia="標楷體" w:hAnsi="標楷體"/>
                <w:sz w:val="28"/>
              </w:rPr>
              <w:t>6</w:t>
            </w:r>
            <w:r w:rsidRPr="008E3A1F">
              <w:rPr>
                <w:rFonts w:ascii="標楷體" w:eastAsia="標楷體" w:hAnsi="標楷體" w:hint="eastAsia"/>
                <w:sz w:val="28"/>
              </w:rPr>
              <w:t>小時</w:t>
            </w:r>
          </w:p>
        </w:tc>
        <w:tc>
          <w:tcPr>
            <w:tcW w:w="2243"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hint="eastAsia"/>
                <w:sz w:val="28"/>
              </w:rPr>
              <w:t>國小數學奠基活動</w:t>
            </w:r>
            <w:r w:rsidRPr="008E3A1F">
              <w:rPr>
                <w:rFonts w:ascii="標楷體" w:eastAsia="標楷體" w:hAnsi="標楷體"/>
                <w:sz w:val="28"/>
              </w:rPr>
              <w:t>-</w:t>
            </w:r>
            <w:r w:rsidRPr="008E3A1F">
              <w:rPr>
                <w:rFonts w:ascii="標楷體" w:eastAsia="標楷體" w:hAnsi="標楷體" w:hint="eastAsia"/>
                <w:sz w:val="28"/>
              </w:rPr>
              <w:t>中年級模組</w:t>
            </w:r>
          </w:p>
        </w:tc>
        <w:tc>
          <w:tcPr>
            <w:tcW w:w="2268"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hint="eastAsia"/>
                <w:sz w:val="28"/>
              </w:rPr>
              <w:t>高雄市梓官國小阮正誼教師</w:t>
            </w:r>
          </w:p>
        </w:tc>
      </w:tr>
      <w:tr w:rsidR="00BD6D9E" w:rsidTr="008E3A1F">
        <w:tc>
          <w:tcPr>
            <w:tcW w:w="1476"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sz w:val="28"/>
              </w:rPr>
              <w:t>106</w:t>
            </w:r>
            <w:bookmarkStart w:id="0" w:name="_GoBack"/>
            <w:bookmarkEnd w:id="0"/>
            <w:r w:rsidRPr="008E3A1F">
              <w:rPr>
                <w:rFonts w:ascii="標楷體" w:eastAsia="標楷體" w:hAnsi="標楷體"/>
                <w:sz w:val="28"/>
              </w:rPr>
              <w:t>.04.22</w:t>
            </w:r>
          </w:p>
        </w:tc>
        <w:tc>
          <w:tcPr>
            <w:tcW w:w="2350"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sz w:val="28"/>
              </w:rPr>
              <w:t>0900~1200</w:t>
            </w:r>
          </w:p>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sz w:val="28"/>
              </w:rPr>
              <w:t>1300~1600</w:t>
            </w:r>
          </w:p>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hint="eastAsia"/>
                <w:sz w:val="28"/>
              </w:rPr>
              <w:t>合計</w:t>
            </w:r>
            <w:r w:rsidRPr="008E3A1F">
              <w:rPr>
                <w:rFonts w:ascii="標楷體" w:eastAsia="標楷體" w:hAnsi="標楷體"/>
                <w:sz w:val="28"/>
              </w:rPr>
              <w:t>6</w:t>
            </w:r>
            <w:r w:rsidRPr="008E3A1F">
              <w:rPr>
                <w:rFonts w:ascii="標楷體" w:eastAsia="標楷體" w:hAnsi="標楷體" w:hint="eastAsia"/>
                <w:sz w:val="28"/>
              </w:rPr>
              <w:t>小時</w:t>
            </w:r>
          </w:p>
        </w:tc>
        <w:tc>
          <w:tcPr>
            <w:tcW w:w="2243"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hint="eastAsia"/>
                <w:sz w:val="28"/>
              </w:rPr>
              <w:t>國小數學奠基活動</w:t>
            </w:r>
            <w:r w:rsidRPr="008E3A1F">
              <w:rPr>
                <w:rFonts w:ascii="標楷體" w:eastAsia="標楷體" w:hAnsi="標楷體"/>
                <w:sz w:val="28"/>
              </w:rPr>
              <w:t>-</w:t>
            </w:r>
            <w:r w:rsidRPr="008E3A1F">
              <w:rPr>
                <w:rFonts w:ascii="標楷體" w:eastAsia="標楷體" w:hAnsi="標楷體" w:hint="eastAsia"/>
                <w:sz w:val="28"/>
              </w:rPr>
              <w:t>高年級模組</w:t>
            </w:r>
          </w:p>
        </w:tc>
        <w:tc>
          <w:tcPr>
            <w:tcW w:w="2268" w:type="dxa"/>
          </w:tcPr>
          <w:p w:rsidR="00BD6D9E" w:rsidRPr="008E3A1F" w:rsidRDefault="00BD6D9E" w:rsidP="008E3A1F">
            <w:pPr>
              <w:snapToGrid w:val="0"/>
              <w:spacing w:before="180"/>
              <w:rPr>
                <w:rFonts w:ascii="標楷體" w:eastAsia="標楷體" w:hAnsi="標楷體"/>
                <w:sz w:val="28"/>
              </w:rPr>
            </w:pPr>
            <w:r w:rsidRPr="008E3A1F">
              <w:rPr>
                <w:rFonts w:ascii="標楷體" w:eastAsia="標楷體" w:hAnsi="標楷體" w:hint="eastAsia"/>
                <w:sz w:val="28"/>
              </w:rPr>
              <w:t>高雄市梓官國小阮正誼教師</w:t>
            </w:r>
          </w:p>
        </w:tc>
      </w:tr>
    </w:tbl>
    <w:p w:rsidR="00BD6D9E" w:rsidRPr="00E0504E" w:rsidRDefault="00BD6D9E" w:rsidP="00E0504E">
      <w:pPr>
        <w:snapToGrid w:val="0"/>
        <w:spacing w:before="180"/>
        <w:rPr>
          <w:rFonts w:ascii="標楷體" w:eastAsia="標楷體" w:hAnsi="標楷體"/>
          <w:sz w:val="28"/>
        </w:rPr>
      </w:pPr>
    </w:p>
    <w:sectPr w:rsidR="00BD6D9E" w:rsidRPr="00E0504E" w:rsidSect="00CC013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D9E" w:rsidRDefault="00BD6D9E" w:rsidP="00E0504E">
      <w:r>
        <w:separator/>
      </w:r>
    </w:p>
  </w:endnote>
  <w:endnote w:type="continuationSeparator" w:id="0">
    <w:p w:rsidR="00BD6D9E" w:rsidRDefault="00BD6D9E" w:rsidP="00E05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D9E" w:rsidRDefault="00BD6D9E" w:rsidP="00E0504E">
      <w:r>
        <w:separator/>
      </w:r>
    </w:p>
  </w:footnote>
  <w:footnote w:type="continuationSeparator" w:id="0">
    <w:p w:rsidR="00BD6D9E" w:rsidRDefault="00BD6D9E" w:rsidP="00E05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1"/>
      <w:numFmt w:val="taiwaneseCountingThousand"/>
      <w:lvlText w:val="(%1)"/>
      <w:lvlJc w:val="left"/>
      <w:pPr>
        <w:ind w:left="1440" w:hanging="72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1">
    <w:nsid w:val="3342365B"/>
    <w:multiLevelType w:val="hybridMultilevel"/>
    <w:tmpl w:val="7ECCE64A"/>
    <w:lvl w:ilvl="0" w:tplc="22FC7010">
      <w:start w:val="1"/>
      <w:numFmt w:val="taiwaneseCountingThousand"/>
      <w:lvlText w:val="(%1)"/>
      <w:lvlJc w:val="left"/>
      <w:pPr>
        <w:ind w:left="1080" w:hanging="36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6C960F2B"/>
    <w:multiLevelType w:val="hybridMultilevel"/>
    <w:tmpl w:val="FBC41296"/>
    <w:lvl w:ilvl="0" w:tplc="16C4C430">
      <w:start w:val="1"/>
      <w:numFmt w:val="taiwaneseCountingThousand"/>
      <w:lvlText w:val="(%1)"/>
      <w:lvlJc w:val="left"/>
      <w:pPr>
        <w:ind w:left="1080" w:hanging="360"/>
      </w:pPr>
      <w:rPr>
        <w:rFonts w:cs="Times New Roman" w:hint="default"/>
        <w:color w:val="000000"/>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0"/>
    <w:lvlOverride w:ilvl="0">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11F"/>
    <w:rsid w:val="00096D49"/>
    <w:rsid w:val="000E511F"/>
    <w:rsid w:val="0021142A"/>
    <w:rsid w:val="003A4324"/>
    <w:rsid w:val="003A7478"/>
    <w:rsid w:val="00404B1D"/>
    <w:rsid w:val="00705253"/>
    <w:rsid w:val="007C3B93"/>
    <w:rsid w:val="008E3A1F"/>
    <w:rsid w:val="00A43152"/>
    <w:rsid w:val="00AF00FA"/>
    <w:rsid w:val="00B24182"/>
    <w:rsid w:val="00BD6D9E"/>
    <w:rsid w:val="00C57171"/>
    <w:rsid w:val="00CC013F"/>
    <w:rsid w:val="00D82919"/>
    <w:rsid w:val="00E0504E"/>
    <w:rsid w:val="00E64D9D"/>
    <w:rsid w:val="00E840DB"/>
    <w:rsid w:val="00EF6E77"/>
    <w:rsid w:val="00F531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1F"/>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511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E511F"/>
    <w:rPr>
      <w:rFonts w:ascii="Times New Roman" w:eastAsia="新細明體" w:hAnsi="Times New Roman" w:cs="Times New Roman"/>
      <w:sz w:val="20"/>
      <w:szCs w:val="20"/>
    </w:rPr>
  </w:style>
  <w:style w:type="paragraph" w:styleId="ListParagraph">
    <w:name w:val="List Paragraph"/>
    <w:basedOn w:val="Normal"/>
    <w:uiPriority w:val="99"/>
    <w:qFormat/>
    <w:rsid w:val="000E511F"/>
    <w:pPr>
      <w:ind w:leftChars="200" w:left="480"/>
    </w:pPr>
    <w:rPr>
      <w:rFonts w:ascii="Calibri" w:hAnsi="Calibri"/>
      <w:szCs w:val="22"/>
    </w:rPr>
  </w:style>
  <w:style w:type="paragraph" w:customStyle="1" w:styleId="Default">
    <w:name w:val="Default"/>
    <w:uiPriority w:val="99"/>
    <w:rsid w:val="000E511F"/>
    <w:pPr>
      <w:widowControl w:val="0"/>
      <w:autoSpaceDE w:val="0"/>
      <w:autoSpaceDN w:val="0"/>
      <w:adjustRightInd w:val="0"/>
    </w:pPr>
    <w:rPr>
      <w:rFonts w:ascii="DFPLiKingHei-XB" w:eastAsia="DFPLiKingHei-XB" w:cs="DFPLiKingHei-XB"/>
      <w:color w:val="000000"/>
      <w:kern w:val="0"/>
      <w:szCs w:val="24"/>
    </w:rPr>
  </w:style>
  <w:style w:type="paragraph" w:styleId="NoteHeading">
    <w:name w:val="Note Heading"/>
    <w:basedOn w:val="Normal"/>
    <w:next w:val="Normal"/>
    <w:link w:val="NoteHeadingChar"/>
    <w:uiPriority w:val="99"/>
    <w:rsid w:val="000E511F"/>
    <w:pPr>
      <w:jc w:val="center"/>
    </w:pPr>
    <w:rPr>
      <w:rFonts w:eastAsia="標楷體" w:hAnsi="標楷體"/>
      <w:b/>
      <w:sz w:val="28"/>
      <w:szCs w:val="28"/>
    </w:rPr>
  </w:style>
  <w:style w:type="character" w:customStyle="1" w:styleId="NoteHeadingChar">
    <w:name w:val="Note Heading Char"/>
    <w:basedOn w:val="DefaultParagraphFont"/>
    <w:link w:val="NoteHeading"/>
    <w:uiPriority w:val="99"/>
    <w:locked/>
    <w:rsid w:val="000E511F"/>
    <w:rPr>
      <w:rFonts w:ascii="Times New Roman" w:eastAsia="標楷體" w:hAnsi="標楷體" w:cs="Times New Roman"/>
      <w:b/>
      <w:sz w:val="28"/>
      <w:szCs w:val="28"/>
    </w:rPr>
  </w:style>
  <w:style w:type="table" w:styleId="TableGrid">
    <w:name w:val="Table Grid"/>
    <w:basedOn w:val="TableNormal"/>
    <w:uiPriority w:val="99"/>
    <w:rsid w:val="00404B1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rsid w:val="00E050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0504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95</Words>
  <Characters>542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105學年度花蓮縣國小數學教師數學奠基活動研習計畫</dc:title>
  <dc:subject/>
  <dc:creator>Windows 使用者</dc:creator>
  <cp:keywords/>
  <dc:description/>
  <cp:lastModifiedBy>USER</cp:lastModifiedBy>
  <cp:revision>2</cp:revision>
  <cp:lastPrinted>2017-02-26T07:58:00Z</cp:lastPrinted>
  <dcterms:created xsi:type="dcterms:W3CDTF">2017-03-16T03:31:00Z</dcterms:created>
  <dcterms:modified xsi:type="dcterms:W3CDTF">2017-03-16T03:31:00Z</dcterms:modified>
</cp:coreProperties>
</file>