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19D518DD"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6ED9B789" w14:textId="485BC65D"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為鼓勵全國國中小學生使用本網站閱讀素材加強其閱讀能力，特舉辦「Cool English閱讀王」競賽活動。</w:t>
      </w:r>
    </w:p>
    <w:p w14:paraId="024D8D24" w14:textId="57CA3CDA"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14:paraId="1E441099" w14:textId="50351E45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269D2D28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9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5CFE1F1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61D209C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r w:rsidRPr="006952FE">
        <w:rPr>
          <w:rFonts w:ascii="標楷體" w:eastAsia="標楷體" w:hAnsi="標楷體" w:hint="eastAsia"/>
        </w:rPr>
        <w:t>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6BFC820B" w14:textId="67994CD3"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lastRenderedPageBreak/>
        <w:t>※若因使用雙重帳號/非本人帳號作答，致使個人成績無法完整記錄者，恕不受理。</w:t>
      </w:r>
    </w:p>
    <w:p w14:paraId="5115D3E9" w14:textId="7C0B298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10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0EB16DAA"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若有因報名資料填寫不完整/不正確，致使主辦單位無法正確辨識其平臺作答資料與聯繫者，一律不納入成績評選名單中。</w:t>
      </w:r>
    </w:p>
    <w:p w14:paraId="7C06D44B" w14:textId="2430243A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8BD16A2" w14:textId="7ACF7C4A"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14:paraId="1049483E" w14:textId="3CA600B9"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14:paraId="0D9BA3E5" w14:textId="3FC2F950"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14:paraId="1456AA84" w14:textId="77777777"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14:paraId="0C2B119E" w14:textId="084F9348"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4EBF819F"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閱讀王獎但與閱讀王獎同分者，可獲得閱讀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6952FE" w14:paraId="750AE50A" w14:textId="28DF8CA6" w:rsidTr="00A564E8">
        <w:trPr>
          <w:jc w:val="center"/>
        </w:trPr>
        <w:tc>
          <w:tcPr>
            <w:tcW w:w="1843" w:type="dxa"/>
          </w:tcPr>
          <w:p w14:paraId="694AC8EC" w14:textId="22D02646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14:paraId="453B93E1" w14:textId="24D6F70D" w:rsidTr="00A564E8">
        <w:trPr>
          <w:jc w:val="center"/>
        </w:trPr>
        <w:tc>
          <w:tcPr>
            <w:tcW w:w="1843" w:type="dxa"/>
          </w:tcPr>
          <w:p w14:paraId="22F251DF" w14:textId="1E586C3F"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5A9D25BE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4B011AC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14:paraId="51A2E959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71DECA74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0B09BD27"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14:paraId="1D56E7B6" w14:textId="77777777" w:rsidTr="00A564E8">
        <w:trPr>
          <w:jc w:val="center"/>
        </w:trPr>
        <w:tc>
          <w:tcPr>
            <w:tcW w:w="1843" w:type="dxa"/>
          </w:tcPr>
          <w:p w14:paraId="12398219" w14:textId="265F1CFF"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60838124"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1D02692D"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CBE07" w14:textId="77777777" w:rsidR="00A345A1" w:rsidRDefault="00A345A1" w:rsidP="001C08EB">
      <w:r>
        <w:separator/>
      </w:r>
    </w:p>
  </w:endnote>
  <w:endnote w:type="continuationSeparator" w:id="0">
    <w:p w14:paraId="15FA31D7" w14:textId="77777777" w:rsidR="00A345A1" w:rsidRDefault="00A345A1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61D43" w14:textId="77777777" w:rsidR="00A345A1" w:rsidRDefault="00A345A1" w:rsidP="001C08EB">
      <w:r>
        <w:separator/>
      </w:r>
    </w:p>
  </w:footnote>
  <w:footnote w:type="continuationSeparator" w:id="0">
    <w:p w14:paraId="0C76F997" w14:textId="77777777" w:rsidR="00A345A1" w:rsidRDefault="00A345A1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235E"/>
    <w:rsid w:val="00523085"/>
    <w:rsid w:val="0052495C"/>
    <w:rsid w:val="00525003"/>
    <w:rsid w:val="005259A4"/>
    <w:rsid w:val="00527687"/>
    <w:rsid w:val="005340DD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5816"/>
    <w:rsid w:val="009B2021"/>
    <w:rsid w:val="009D4F9A"/>
    <w:rsid w:val="009D6F39"/>
    <w:rsid w:val="00A11B41"/>
    <w:rsid w:val="00A13DAB"/>
    <w:rsid w:val="00A262EF"/>
    <w:rsid w:val="00A342E6"/>
    <w:rsid w:val="00A345A1"/>
    <w:rsid w:val="00A564E8"/>
    <w:rsid w:val="00A568EA"/>
    <w:rsid w:val="00A91DA5"/>
    <w:rsid w:val="00A94174"/>
    <w:rsid w:val="00AA0AB2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A86D-BE45-47D5-B964-A8CA02BA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2018-01-15T06:32:00Z</cp:lastPrinted>
  <dcterms:created xsi:type="dcterms:W3CDTF">2018-02-22T08:13:00Z</dcterms:created>
  <dcterms:modified xsi:type="dcterms:W3CDTF">2018-02-22T08:13:00Z</dcterms:modified>
</cp:coreProperties>
</file>