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A2A19" w14:textId="60F4A1A3" w:rsidR="005A70EB" w:rsidRPr="0054296C" w:rsidRDefault="005A70EB" w:rsidP="0011353E">
      <w:pPr>
        <w:widowControl/>
        <w:shd w:val="clear" w:color="auto" w:fill="FFFFFF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11353E">
        <w:rPr>
          <w:rFonts w:ascii="Helvetica" w:eastAsia="新細明體" w:hAnsi="Helvetica" w:cs="Helvetica"/>
          <w:b/>
          <w:color w:val="333333"/>
          <w:kern w:val="0"/>
          <w:sz w:val="44"/>
          <w:szCs w:val="44"/>
        </w:rPr>
        <w:t>BNT</w:t>
      </w:r>
      <w:r w:rsidRPr="0011353E">
        <w:rPr>
          <w:rFonts w:ascii="Helvetica" w:eastAsia="新細明體" w:hAnsi="Helvetica" w:cs="Helvetica" w:hint="eastAsia"/>
          <w:b/>
          <w:color w:val="333333"/>
          <w:kern w:val="0"/>
          <w:sz w:val="44"/>
          <w:szCs w:val="44"/>
        </w:rPr>
        <w:t>疫苗</w:t>
      </w:r>
      <w:r w:rsidRPr="005A70EB">
        <w:rPr>
          <w:rFonts w:ascii="Helvetica" w:eastAsia="新細明體" w:hAnsi="Helvetica" w:cs="Helvetica"/>
          <w:color w:val="333333"/>
          <w:kern w:val="0"/>
          <w:szCs w:val="24"/>
        </w:rPr>
        <w:br/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疫苗概述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br/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BioNTech(BNT162b2) COVID-19疫苗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是含有SARS-CoV-2病</w:t>
      </w:r>
      <w:proofErr w:type="gramStart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毒棘</w:t>
      </w:r>
      <w:proofErr w:type="gramEnd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蛋白(S protein)之mRNA疫苗，用於預防COVID-19，本疫苗已通過</w:t>
      </w:r>
      <w:r w:rsidRPr="0054296C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WHO、歐盟等其他先進國家及我國緊急授權使用。</w:t>
      </w:r>
      <w:r w:rsidRPr="0054296C">
        <w:rPr>
          <w:rFonts w:ascii="標楷體" w:eastAsia="標楷體" w:hAnsi="標楷體" w:cs="Helvetica"/>
          <w:color w:val="FF0000"/>
          <w:kern w:val="0"/>
          <w:sz w:val="28"/>
          <w:szCs w:val="28"/>
        </w:rPr>
        <w:br/>
      </w:r>
      <w:proofErr w:type="gramStart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冷儲條件</w:t>
      </w:r>
      <w:proofErr w:type="gramEnd"/>
    </w:p>
    <w:p w14:paraId="5A1DE6AF" w14:textId="77777777" w:rsidR="005A70EB" w:rsidRPr="0054296C" w:rsidRDefault="005A70EB" w:rsidP="005A70E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-60至-90°C超低溫冷凍保存。</w:t>
      </w:r>
    </w:p>
    <w:p w14:paraId="4827AD1A" w14:textId="77777777" w:rsidR="005A70EB" w:rsidRPr="0054296C" w:rsidRDefault="005A70EB" w:rsidP="005A70E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若轉置到2~8°C冷藏設備可保存1個月。</w:t>
      </w:r>
    </w:p>
    <w:p w14:paraId="35289D01" w14:textId="05127FF8" w:rsidR="005A70EB" w:rsidRPr="0054296C" w:rsidRDefault="005A70EB" w:rsidP="005A70EB">
      <w:pPr>
        <w:widowControl/>
        <w:shd w:val="clear" w:color="auto" w:fill="FFFFFF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接種劑量、間隔及途徑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 xml:space="preserve"> </w:t>
      </w:r>
    </w:p>
    <w:p w14:paraId="721C120B" w14:textId="77777777" w:rsidR="005A70EB" w:rsidRPr="0054296C" w:rsidRDefault="005A70EB" w:rsidP="005A70E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目前依據疫苗仿單之適用接種年齡為12歲以上，接種劑量為0.3 mL。</w:t>
      </w:r>
    </w:p>
    <w:p w14:paraId="39ED124D" w14:textId="77777777" w:rsidR="005A70EB" w:rsidRPr="0054296C" w:rsidRDefault="005A70EB" w:rsidP="005A70E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proofErr w:type="gramStart"/>
      <w:r w:rsidRPr="0054296C">
        <w:rPr>
          <w:rFonts w:ascii="標楷體" w:eastAsia="標楷體" w:hAnsi="標楷體" w:cs="Helvetica"/>
          <w:b/>
          <w:color w:val="333333"/>
          <w:kern w:val="0"/>
          <w:sz w:val="26"/>
          <w:szCs w:val="26"/>
        </w:rPr>
        <w:t>接種劑次為</w:t>
      </w:r>
      <w:proofErr w:type="gramEnd"/>
      <w:r w:rsidRPr="0054296C">
        <w:rPr>
          <w:rFonts w:ascii="標楷體" w:eastAsia="標楷體" w:hAnsi="標楷體" w:cs="Helvetica"/>
          <w:b/>
          <w:color w:val="333333"/>
          <w:kern w:val="0"/>
          <w:sz w:val="26"/>
          <w:szCs w:val="26"/>
        </w:rPr>
        <w:t>2劑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，依疫苗仿單建議接種間隔為21天以上；目前依衛生福利部傳染病防治諮詢會預防接種組(ACIP)</w:t>
      </w:r>
      <w:r w:rsidRPr="0054296C"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  <w:t>建議接種間隔為</w:t>
      </w:r>
      <w:r w:rsidRPr="0054296C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至少28 天</w:t>
      </w:r>
      <w:r w:rsidRPr="0054296C"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  <w:t>。</w:t>
      </w:r>
    </w:p>
    <w:p w14:paraId="56E3F9CD" w14:textId="77777777" w:rsidR="005A70EB" w:rsidRPr="0054296C" w:rsidRDefault="005A70EB" w:rsidP="005A70E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接種途徑為</w:t>
      </w:r>
      <w:r w:rsidRPr="0054296C">
        <w:rPr>
          <w:rFonts w:ascii="標楷體" w:eastAsia="標楷體" w:hAnsi="標楷體" w:cs="Helvetica"/>
          <w:color w:val="FF0000"/>
          <w:kern w:val="0"/>
          <w:sz w:val="26"/>
          <w:szCs w:val="26"/>
        </w:rPr>
        <w:t>肌肉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注射。</w:t>
      </w:r>
    </w:p>
    <w:p w14:paraId="02F3018C" w14:textId="4D901875" w:rsidR="005A70EB" w:rsidRPr="0054296C" w:rsidRDefault="005A70EB" w:rsidP="005A70EB">
      <w:pPr>
        <w:widowControl/>
        <w:shd w:val="clear" w:color="auto" w:fill="FFFFFF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安全性及保護效果</w:t>
      </w:r>
    </w:p>
    <w:p w14:paraId="3F8F03B1" w14:textId="77777777" w:rsidR="005A70EB" w:rsidRPr="0054296C" w:rsidRDefault="005A70EB" w:rsidP="005A70E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本疫苗不含可複製之SARS-CoV-2病毒顆粒，不會因為接種本疫苗而</w:t>
      </w:r>
      <w:proofErr w:type="gramStart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罹</w:t>
      </w:r>
      <w:proofErr w:type="gramEnd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患COVID-19。</w:t>
      </w:r>
    </w:p>
    <w:p w14:paraId="6C8D811B" w14:textId="617B7D40" w:rsidR="005A70EB" w:rsidRPr="0054296C" w:rsidRDefault="005A70EB" w:rsidP="005A70E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依據目前臨床試驗結果資料顯示本疫苗對於</w:t>
      </w:r>
      <w:r w:rsidRPr="0054296C">
        <w:rPr>
          <w:rFonts w:ascii="標楷體" w:eastAsia="標楷體" w:hAnsi="標楷體" w:cs="Helvetica"/>
          <w:b/>
          <w:color w:val="FF0000"/>
          <w:kern w:val="0"/>
          <w:sz w:val="26"/>
          <w:szCs w:val="26"/>
        </w:rPr>
        <w:t>年滿16歲以上</w:t>
      </w:r>
      <w:r w:rsidRPr="0054296C">
        <w:rPr>
          <w:rFonts w:ascii="標楷體" w:eastAsia="標楷體" w:hAnsi="標楷體" w:cs="Helvetica"/>
          <w:b/>
          <w:color w:val="333333"/>
          <w:kern w:val="0"/>
          <w:sz w:val="26"/>
          <w:szCs w:val="26"/>
        </w:rPr>
        <w:t>之青少年及成人受試者接種完成2劑接種7天後預防有症狀感染之有效性</w:t>
      </w:r>
      <w:r w:rsidRPr="0054296C">
        <w:rPr>
          <w:rFonts w:ascii="標楷體" w:eastAsia="標楷體" w:hAnsi="標楷體" w:cs="Helvetica"/>
          <w:b/>
          <w:color w:val="FF0000"/>
          <w:kern w:val="0"/>
          <w:sz w:val="26"/>
          <w:szCs w:val="26"/>
        </w:rPr>
        <w:t>約</w:t>
      </w:r>
      <w:r w:rsidRPr="0054296C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94%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，對於</w:t>
      </w:r>
      <w:r w:rsidRPr="0054296C">
        <w:rPr>
          <w:rFonts w:ascii="標楷體" w:eastAsia="標楷體" w:hAnsi="標楷體" w:cs="Helvetica"/>
          <w:b/>
          <w:color w:val="FF0000"/>
          <w:kern w:val="0"/>
          <w:sz w:val="26"/>
          <w:szCs w:val="26"/>
        </w:rPr>
        <w:t>12至15歲</w:t>
      </w:r>
      <w:r w:rsidRPr="0054296C">
        <w:rPr>
          <w:rFonts w:ascii="標楷體" w:eastAsia="標楷體" w:hAnsi="標楷體" w:cs="Helvetica"/>
          <w:b/>
          <w:color w:val="333333"/>
          <w:kern w:val="0"/>
          <w:sz w:val="26"/>
          <w:szCs w:val="26"/>
        </w:rPr>
        <w:t>青少年接種完成2劑接種7天後</w:t>
      </w:r>
      <w:r w:rsidRPr="0054296C">
        <w:rPr>
          <w:rFonts w:ascii="標楷體" w:eastAsia="標楷體" w:hAnsi="標楷體" w:cs="Helvetica"/>
          <w:b/>
          <w:kern w:val="0"/>
          <w:sz w:val="28"/>
          <w:szCs w:val="28"/>
        </w:rPr>
        <w:t>預防有症狀感染之有效性</w:t>
      </w:r>
      <w:r w:rsidRPr="0054296C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約</w:t>
      </w:r>
      <w:r w:rsidR="0054296C" w:rsidRPr="0054296C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100%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，疫苗的保護效果需視接種對象的年齡或身體狀況而異。</w:t>
      </w:r>
    </w:p>
    <w:p w14:paraId="0B9ED78E" w14:textId="7B4A1512" w:rsidR="005A70EB" w:rsidRPr="0054296C" w:rsidRDefault="005A70EB" w:rsidP="005A70EB">
      <w:pPr>
        <w:widowControl/>
        <w:shd w:val="clear" w:color="auto" w:fill="FFFFFF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</w:rPr>
        <w:t>接種禁忌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br/>
        <w:t>對於疫苗成分有</w:t>
      </w:r>
      <w:r w:rsidRPr="0054296C">
        <w:rPr>
          <w:rFonts w:ascii="標楷體" w:eastAsia="標楷體" w:hAnsi="標楷體" w:cs="Helvetica"/>
          <w:b/>
          <w:color w:val="FF0000"/>
          <w:kern w:val="0"/>
          <w:sz w:val="26"/>
          <w:szCs w:val="26"/>
        </w:rPr>
        <w:t>嚴重過敏反應史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，或對於先前接種之</w:t>
      </w:r>
      <w:proofErr w:type="gramStart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疫苗劑次發生</w:t>
      </w:r>
      <w:proofErr w:type="gramEnd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嚴重過敏反應者不予接種。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br/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br/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接種注意事項</w:t>
      </w:r>
    </w:p>
    <w:p w14:paraId="67C0280B" w14:textId="77777777" w:rsidR="005A70EB" w:rsidRPr="0054296C" w:rsidRDefault="005A70EB" w:rsidP="005A70EB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b/>
          <w:bCs/>
          <w:color w:val="FF0000"/>
          <w:kern w:val="0"/>
          <w:sz w:val="26"/>
          <w:szCs w:val="26"/>
        </w:rPr>
        <w:t>發燒或正患有急性中重度疾病者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，宜待病情穩定後再接種。</w:t>
      </w:r>
    </w:p>
    <w:p w14:paraId="51CD1672" w14:textId="77777777" w:rsidR="005A70EB" w:rsidRPr="0054296C" w:rsidRDefault="005A70EB" w:rsidP="005A70EB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b/>
          <w:color w:val="FF0000"/>
          <w:kern w:val="0"/>
          <w:sz w:val="26"/>
          <w:szCs w:val="26"/>
        </w:rPr>
        <w:t>本疫苗不得與其他廠牌交替使用。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若不慎使用了兩劑不同COVID-19疫苗產品時，不建議再接種任何一種產品。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本疫苗不得與其他疫苗同時接種，</w:t>
      </w:r>
      <w:r w:rsidRPr="00955469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目前</w:t>
      </w:r>
      <w:proofErr w:type="gramStart"/>
      <w:r w:rsidRPr="00955469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建議與流感</w:t>
      </w:r>
      <w:proofErr w:type="gramEnd"/>
      <w:r w:rsidRPr="00955469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疫苗</w:t>
      </w:r>
      <w:r w:rsidRPr="00955469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lastRenderedPageBreak/>
        <w:t>應間隔</w:t>
      </w:r>
      <w:r w:rsidRPr="00955469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</w:rPr>
        <w:t>至少7天</w:t>
      </w:r>
      <w:r w:rsidRPr="00955469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，與其他疫苗應間隔</w:t>
      </w:r>
      <w:r w:rsidRPr="00955469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</w:rPr>
        <w:t>至少14天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，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如小於上述間隔，各該疫苗無需</w:t>
      </w:r>
      <w:proofErr w:type="gramStart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再補種</w:t>
      </w:r>
      <w:proofErr w:type="gramEnd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。</w:t>
      </w:r>
    </w:p>
    <w:p w14:paraId="43E2F532" w14:textId="77777777" w:rsidR="005A70EB" w:rsidRPr="0054296C" w:rsidRDefault="005A70EB" w:rsidP="005A70EB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955469">
        <w:rPr>
          <w:rFonts w:ascii="標楷體" w:eastAsia="標楷體" w:hAnsi="標楷體" w:cs="Helvetica"/>
          <w:color w:val="FF0000"/>
          <w:kern w:val="0"/>
          <w:sz w:val="26"/>
          <w:szCs w:val="26"/>
        </w:rPr>
        <w:t>免疫功能低下者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，包括接受免疫抑制劑治療的人，對疫苗的免疫反應可能減弱。(尚無免疫低下者或正在接受免疫抑制治療者的數據)</w:t>
      </w:r>
    </w:p>
    <w:p w14:paraId="74E55A93" w14:textId="77777777" w:rsidR="005A70EB" w:rsidRPr="0054296C" w:rsidRDefault="005A70EB" w:rsidP="005A70EB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目前沒有足夠數據建議孕婦可常規接種COVID-19疫苗，惟若為高感染風險可能因</w:t>
      </w:r>
      <w:proofErr w:type="gramStart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罹</w:t>
      </w:r>
      <w:proofErr w:type="gramEnd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患COVID-19導致嚴重併發症的情形，可經醫師評估是否接種疫苗。</w:t>
      </w:r>
    </w:p>
    <w:p w14:paraId="1DD0AA52" w14:textId="77777777" w:rsidR="005A70EB" w:rsidRPr="0054296C" w:rsidRDefault="005A70EB" w:rsidP="005A70EB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若哺乳中的婦女為建議接種之風險對象(如</w:t>
      </w:r>
      <w:proofErr w:type="gramStart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醫</w:t>
      </w:r>
      <w:proofErr w:type="gramEnd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事人員)，應完成接種。目前對哺乳中的婦女接種COVID-19疫苗的安全性、疫苗對母乳或受哺嬰兒之影響尚未完全得到評估，但一般認為並不會造成相關風險。接種COVID-19疫苗後，仍可持續哺乳。</w:t>
      </w:r>
    </w:p>
    <w:p w14:paraId="6922DB70" w14:textId="77777777" w:rsidR="005A70EB" w:rsidRPr="0054296C" w:rsidRDefault="005A70EB" w:rsidP="005A70EB">
      <w:pPr>
        <w:widowControl/>
        <w:shd w:val="clear" w:color="auto" w:fill="FFFFFF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br/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接種後注意事項</w:t>
      </w:r>
    </w:p>
    <w:p w14:paraId="794934BF" w14:textId="77777777" w:rsidR="005A70EB" w:rsidRPr="009E2953" w:rsidRDefault="005A70EB" w:rsidP="005A70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為</w:t>
      </w:r>
      <w:r w:rsidRPr="00955469">
        <w:rPr>
          <w:rFonts w:ascii="標楷體" w:eastAsia="標楷體" w:hAnsi="標楷體" w:cs="Helvetica"/>
          <w:b/>
          <w:color w:val="7030A0"/>
          <w:kern w:val="0"/>
          <w:sz w:val="26"/>
          <w:szCs w:val="26"/>
        </w:rPr>
        <w:t>即時處理</w:t>
      </w:r>
      <w:r w:rsidRPr="00955469">
        <w:rPr>
          <w:rFonts w:ascii="標楷體" w:eastAsia="標楷體" w:hAnsi="標楷體" w:cs="Helvetica"/>
          <w:color w:val="0070C0"/>
          <w:kern w:val="0"/>
          <w:sz w:val="26"/>
          <w:szCs w:val="26"/>
        </w:rPr>
        <w:t>接種後</w:t>
      </w:r>
      <w:r w:rsidRPr="009E2953">
        <w:rPr>
          <w:rFonts w:ascii="標楷體" w:eastAsia="標楷體" w:hAnsi="標楷體" w:cs="Helvetica"/>
          <w:color w:val="C00000"/>
          <w:kern w:val="0"/>
          <w:sz w:val="26"/>
          <w:szCs w:val="26"/>
        </w:rPr>
        <w:t>發生率極低的立即型嚴重過敏反應</w:t>
      </w:r>
      <w:r w:rsidRPr="00955469">
        <w:rPr>
          <w:rFonts w:ascii="標楷體" w:eastAsia="標楷體" w:hAnsi="標楷體" w:cs="Helvetica"/>
          <w:color w:val="0070C0"/>
          <w:kern w:val="0"/>
          <w:sz w:val="26"/>
          <w:szCs w:val="26"/>
        </w:rPr>
        <w:t>，接種後應於接種單位或</w:t>
      </w:r>
      <w:proofErr w:type="gramStart"/>
      <w:r w:rsidRPr="00955469">
        <w:rPr>
          <w:rFonts w:ascii="標楷體" w:eastAsia="標楷體" w:hAnsi="標楷體" w:cs="Helvetica"/>
          <w:color w:val="0070C0"/>
          <w:kern w:val="0"/>
          <w:sz w:val="26"/>
          <w:szCs w:val="26"/>
        </w:rPr>
        <w:t>附近稍</w:t>
      </w:r>
      <w:proofErr w:type="gramEnd"/>
      <w:r w:rsidRPr="00955469">
        <w:rPr>
          <w:rFonts w:ascii="標楷體" w:eastAsia="標楷體" w:hAnsi="標楷體" w:cs="Helvetica"/>
          <w:color w:val="0070C0"/>
          <w:kern w:val="0"/>
          <w:sz w:val="26"/>
          <w:szCs w:val="26"/>
        </w:rPr>
        <w:t>作</w:t>
      </w:r>
      <w:proofErr w:type="gramStart"/>
      <w:r w:rsidRPr="00955469">
        <w:rPr>
          <w:rFonts w:ascii="標楷體" w:eastAsia="標楷體" w:hAnsi="標楷體" w:cs="Helvetica"/>
          <w:color w:val="0070C0"/>
          <w:kern w:val="0"/>
          <w:sz w:val="26"/>
          <w:szCs w:val="26"/>
        </w:rPr>
        <w:t>休息</w:t>
      </w:r>
      <w:r w:rsidRPr="00955469">
        <w:rPr>
          <w:rFonts w:ascii="標楷體" w:eastAsia="標楷體" w:hAnsi="標楷體" w:cs="Helvetica"/>
          <w:b/>
          <w:bCs/>
          <w:color w:val="0070C0"/>
          <w:kern w:val="0"/>
          <w:sz w:val="26"/>
          <w:szCs w:val="26"/>
        </w:rPr>
        <w:t>留觀</w:t>
      </w:r>
      <w:r w:rsidRPr="009E2953">
        <w:rPr>
          <w:rFonts w:ascii="標楷體" w:eastAsia="標楷體" w:hAnsi="標楷體" w:cs="Helvetica"/>
          <w:b/>
          <w:bCs/>
          <w:color w:val="0070C0"/>
          <w:kern w:val="0"/>
          <w:sz w:val="28"/>
          <w:szCs w:val="28"/>
        </w:rPr>
        <w:t>15分鐘</w:t>
      </w:r>
      <w:proofErr w:type="gramEnd"/>
      <w:r w:rsidRPr="009E2953">
        <w:rPr>
          <w:rFonts w:ascii="標楷體" w:eastAsia="標楷體" w:hAnsi="標楷體" w:cs="Helvetica"/>
          <w:color w:val="333333"/>
          <w:kern w:val="0"/>
          <w:sz w:val="28"/>
          <w:szCs w:val="28"/>
        </w:rPr>
        <w:t>，</w:t>
      </w:r>
      <w:r w:rsidRPr="009E2953">
        <w:rPr>
          <w:rFonts w:ascii="標楷體" w:eastAsia="標楷體" w:hAnsi="標楷體" w:cs="Helvetica"/>
          <w:color w:val="00B050"/>
          <w:kern w:val="0"/>
          <w:sz w:val="26"/>
          <w:szCs w:val="26"/>
        </w:rPr>
        <w:t>離開後請</w:t>
      </w:r>
      <w:r w:rsidRPr="009E2953">
        <w:rPr>
          <w:rFonts w:ascii="標楷體" w:eastAsia="標楷體" w:hAnsi="標楷體" w:cs="Helvetica"/>
          <w:b/>
          <w:bCs/>
          <w:color w:val="00B050"/>
          <w:kern w:val="0"/>
          <w:sz w:val="26"/>
          <w:szCs w:val="26"/>
        </w:rPr>
        <w:t>自我密切觀察</w:t>
      </w:r>
      <w:r w:rsidRPr="009E2953">
        <w:rPr>
          <w:rFonts w:ascii="標楷體" w:eastAsia="標楷體" w:hAnsi="標楷體" w:cs="Helvetica"/>
          <w:b/>
          <w:bCs/>
          <w:color w:val="00B050"/>
          <w:kern w:val="0"/>
          <w:sz w:val="28"/>
          <w:szCs w:val="28"/>
        </w:rPr>
        <w:t>15分鐘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，但針對</w:t>
      </w:r>
      <w:r w:rsidRPr="009E2953">
        <w:rPr>
          <w:rFonts w:ascii="標楷體" w:eastAsia="標楷體" w:hAnsi="標楷體" w:cs="Helvetica"/>
          <w:color w:val="C00000"/>
          <w:kern w:val="0"/>
          <w:sz w:val="26"/>
          <w:szCs w:val="26"/>
        </w:rPr>
        <w:t>先前曾因接種疫苗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或</w:t>
      </w:r>
      <w:r w:rsidRPr="009E2953">
        <w:rPr>
          <w:rFonts w:ascii="標楷體" w:eastAsia="標楷體" w:hAnsi="標楷體" w:cs="Helvetica"/>
          <w:color w:val="C00000"/>
          <w:kern w:val="0"/>
          <w:sz w:val="26"/>
          <w:szCs w:val="26"/>
        </w:rPr>
        <w:t>任何注射治療後發生急性過敏反應之民眾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，接種後仍請於接種處或</w:t>
      </w:r>
      <w:proofErr w:type="gramStart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附近</w:t>
      </w:r>
      <w:r w:rsidRPr="009E295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</w:rPr>
        <w:t>留觀至少</w:t>
      </w:r>
      <w:proofErr w:type="gramEnd"/>
      <w:r w:rsidRPr="009E295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</w:rPr>
        <w:t>30分鐘</w:t>
      </w:r>
      <w:r w:rsidRPr="009E2953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。</w:t>
      </w:r>
    </w:p>
    <w:p w14:paraId="08797428" w14:textId="77777777" w:rsidR="005A70EB" w:rsidRPr="0054296C" w:rsidRDefault="005A70EB" w:rsidP="005A70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使用抗血小板或抗凝血藥物或凝血功能</w:t>
      </w:r>
      <w:proofErr w:type="gramStart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異常者施打</w:t>
      </w:r>
      <w:proofErr w:type="gramEnd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後於注射部位加壓至少2分鐘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，並觀察是否仍有出血或血腫情形。</w:t>
      </w:r>
    </w:p>
    <w:p w14:paraId="3669E43F" w14:textId="77777777" w:rsidR="005A70EB" w:rsidRPr="0011353E" w:rsidRDefault="005A70EB" w:rsidP="005A70EB">
      <w:pPr>
        <w:widowControl/>
        <w:shd w:val="clear" w:color="auto" w:fill="FFFFFF"/>
        <w:rPr>
          <w:rFonts w:ascii="標楷體" w:eastAsia="標楷體" w:hAnsi="標楷體" w:cs="Helvetica"/>
          <w:color w:val="333333"/>
          <w:kern w:val="0"/>
          <w:sz w:val="28"/>
          <w:szCs w:val="28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br/>
      </w:r>
      <w:r w:rsidRPr="0011353E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接種後可能發生之反應及因應措施</w:t>
      </w:r>
    </w:p>
    <w:p w14:paraId="176603D4" w14:textId="77777777" w:rsidR="005A70EB" w:rsidRPr="0054296C" w:rsidRDefault="005A70EB" w:rsidP="005A70E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疫苗接種後可能發生的</w:t>
      </w:r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反應大多為接種部位</w:t>
      </w:r>
      <w:bookmarkStart w:id="0" w:name="_GoBack"/>
      <w:bookmarkEnd w:id="0"/>
      <w:proofErr w:type="gramStart"/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疼痛、</w:t>
      </w:r>
      <w:proofErr w:type="gramEnd"/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紅腫，通常於數天內消失</w:t>
      </w:r>
      <w:r w:rsidRPr="006E0D5D">
        <w:rPr>
          <w:rFonts w:ascii="標楷體" w:eastAsia="標楷體" w:hAnsi="標楷體" w:cs="Helvetica"/>
          <w:color w:val="333333"/>
          <w:kern w:val="0"/>
          <w:sz w:val="28"/>
          <w:szCs w:val="28"/>
        </w:rPr>
        <w:t>，</w:t>
      </w:r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其他可能反應包含疲倦、頭痛、肌肉痠痛、體溫升高、畏寒、關節痛及噁心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，這些症狀隨年齡層增加而減少，通常輕微並於數天內消失。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依據疫苗臨床試驗顯示接種</w:t>
      </w:r>
      <w:r w:rsidRPr="006E0D5D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</w:rPr>
        <w:t>第二劑之副作用發生比率高於第一劑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。接種疫苗後可能有</w:t>
      </w:r>
      <w:r w:rsidRPr="006E0D5D">
        <w:rPr>
          <w:rFonts w:ascii="標楷體" w:eastAsia="標楷體" w:hAnsi="標楷體" w:cs="Helvetica"/>
          <w:b/>
          <w:bCs/>
          <w:color w:val="FF0000"/>
          <w:kern w:val="0"/>
          <w:sz w:val="26"/>
          <w:szCs w:val="26"/>
        </w:rPr>
        <w:t>發燒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反應(</w:t>
      </w:r>
      <w:r w:rsidRPr="006E0D5D">
        <w:rPr>
          <w:rFonts w:ascii="標楷體" w:eastAsia="標楷體" w:hAnsi="標楷體" w:cs="Helvetica"/>
          <w:b/>
          <w:bCs/>
          <w:color w:val="FF0000"/>
          <w:kern w:val="0"/>
          <w:sz w:val="26"/>
          <w:szCs w:val="26"/>
        </w:rPr>
        <w:t>38</w:t>
      </w:r>
      <w:r w:rsidRPr="006E0D5D">
        <w:rPr>
          <w:rFonts w:ascii="標楷體" w:eastAsia="標楷體" w:hAnsi="標楷體" w:cs="新細明體" w:hint="eastAsia"/>
          <w:b/>
          <w:bCs/>
          <w:color w:val="FF0000"/>
          <w:kern w:val="0"/>
          <w:sz w:val="26"/>
          <w:szCs w:val="26"/>
        </w:rPr>
        <w:t>℃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)，一般約</w:t>
      </w:r>
      <w:r w:rsidRPr="006E0D5D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</w:rPr>
        <w:t>48小時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可緩解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。</w:t>
      </w:r>
    </w:p>
    <w:p w14:paraId="3FADA5AC" w14:textId="77777777" w:rsidR="005A70EB" w:rsidRPr="0054296C" w:rsidRDefault="005A70EB" w:rsidP="005A70E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6E0D5D">
        <w:rPr>
          <w:rFonts w:ascii="標楷體" w:eastAsia="標楷體" w:hAnsi="標楷體" w:cs="Helvetica"/>
          <w:color w:val="333333"/>
          <w:kern w:val="0"/>
          <w:sz w:val="28"/>
          <w:szCs w:val="28"/>
        </w:rPr>
        <w:t>如有</w:t>
      </w:r>
      <w:r w:rsidRPr="006E0D5D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</w:rPr>
        <w:t>持續發燒超過48小時</w:t>
      </w:r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、</w:t>
      </w:r>
      <w:r w:rsidRPr="006E0D5D">
        <w:rPr>
          <w:rFonts w:ascii="標楷體" w:eastAsia="標楷體" w:hAnsi="標楷體" w:cs="Helvetica"/>
          <w:b/>
          <w:bCs/>
          <w:color w:val="00B050"/>
          <w:kern w:val="0"/>
          <w:sz w:val="28"/>
          <w:szCs w:val="28"/>
        </w:rPr>
        <w:t>嚴重過敏反應</w:t>
      </w:r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如</w:t>
      </w:r>
      <w:r w:rsidRPr="006E0D5D">
        <w:rPr>
          <w:rFonts w:ascii="標楷體" w:eastAsia="標楷體" w:hAnsi="標楷體" w:cs="Helvetica"/>
          <w:b/>
          <w:bCs/>
          <w:color w:val="1F4E79" w:themeColor="accent5" w:themeShade="80"/>
          <w:kern w:val="0"/>
          <w:sz w:val="28"/>
          <w:szCs w:val="28"/>
        </w:rPr>
        <w:t>呼吸困難、氣喘、眩暈、心跳加速、全身紅疹等</w:t>
      </w:r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不適症狀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，應儘速就醫</w:t>
      </w:r>
      <w:proofErr w:type="gramStart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釐</w:t>
      </w:r>
      <w:proofErr w:type="gramEnd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清病因，請您就醫時告知醫師相關症狀、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lastRenderedPageBreak/>
        <w:t>症狀發生時間、疫苗接種時間，以做為診斷參考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。若為疑似疫苗接種後嚴重不良事件，可經由醫療端或衛生局所協助通報至「疫苗不良事件通報系統」(https://www.cdc.gov.tw/Category/Page/3-aXlTBq4ggn5Hg2dveHBg)</w:t>
      </w:r>
    </w:p>
    <w:p w14:paraId="03B9802B" w14:textId="77777777" w:rsidR="005A70EB" w:rsidRPr="0054296C" w:rsidRDefault="005A70EB" w:rsidP="005A70E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依據疫苗上市後資料，</w:t>
      </w:r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接種BNT162b2疫苗後曾出現</w:t>
      </w:r>
      <w:r w:rsidRPr="006E0D5D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</w:rPr>
        <w:t>極罕見的心肌炎和心</w:t>
      </w:r>
      <w:proofErr w:type="gramStart"/>
      <w:r w:rsidRPr="006E0D5D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</w:rPr>
        <w:t>包膜炎</w:t>
      </w:r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病例</w:t>
      </w:r>
      <w:proofErr w:type="gramEnd"/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。這些病例主要發生在</w:t>
      </w:r>
      <w:r w:rsidRPr="006E0D5D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</w:rPr>
        <w:t>接種後14天內</w:t>
      </w:r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，</w:t>
      </w:r>
      <w:r w:rsidRPr="006E0D5D">
        <w:rPr>
          <w:rFonts w:ascii="標楷體" w:eastAsia="標楷體" w:hAnsi="標楷體" w:cs="Helvetica"/>
          <w:b/>
          <w:bCs/>
          <w:color w:val="7030A0"/>
          <w:kern w:val="0"/>
          <w:sz w:val="28"/>
          <w:szCs w:val="28"/>
        </w:rPr>
        <w:t>較常發生在接種第二劑之後</w:t>
      </w:r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以及</w:t>
      </w:r>
      <w:r w:rsidRPr="006E0D5D">
        <w:rPr>
          <w:rFonts w:ascii="標楷體" w:eastAsia="標楷體" w:hAnsi="標楷體" w:cs="Helvetica"/>
          <w:b/>
          <w:bCs/>
          <w:color w:val="806000" w:themeColor="accent4" w:themeShade="80"/>
          <w:kern w:val="0"/>
          <w:sz w:val="28"/>
          <w:szCs w:val="28"/>
        </w:rPr>
        <w:t>年輕男性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，但評估後BNT162b2疫苗用於</w:t>
      </w:r>
      <w:r w:rsidRPr="006E0D5D">
        <w:rPr>
          <w:rFonts w:ascii="標楷體" w:eastAsia="標楷體" w:hAnsi="標楷體" w:cs="Helvetica"/>
          <w:b/>
          <w:bCs/>
          <w:color w:val="333333"/>
          <w:kern w:val="0"/>
          <w:sz w:val="28"/>
          <w:szCs w:val="28"/>
        </w:rPr>
        <w:t>年輕族群的整體臨床效益仍大於其風險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。</w:t>
      </w:r>
    </w:p>
    <w:p w14:paraId="7E76AC70" w14:textId="77777777" w:rsidR="005A70EB" w:rsidRPr="0054296C" w:rsidRDefault="005A70EB" w:rsidP="005A70E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若在接種疫苗後出現疑似心肌炎或心</w:t>
      </w:r>
      <w:proofErr w:type="gramStart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包膜炎的</w:t>
      </w:r>
      <w:proofErr w:type="gramEnd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症狀</w:t>
      </w:r>
      <w:proofErr w:type="gramStart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（</w:t>
      </w:r>
      <w:proofErr w:type="gramEnd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例如：</w:t>
      </w:r>
      <w:r w:rsidRPr="006E0D5D">
        <w:rPr>
          <w:rFonts w:ascii="標楷體" w:eastAsia="標楷體" w:hAnsi="標楷體" w:cs="Helvetica"/>
          <w:b/>
          <w:bCs/>
          <w:color w:val="FF0000"/>
          <w:kern w:val="0"/>
          <w:sz w:val="26"/>
          <w:szCs w:val="26"/>
        </w:rPr>
        <w:t>急性和持續性胸痛、呼吸急促或心悸等症狀</w:t>
      </w:r>
      <w:proofErr w:type="gramStart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）</w:t>
      </w:r>
      <w:proofErr w:type="gramEnd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，務必立即就醫。</w:t>
      </w:r>
    </w:p>
    <w:p w14:paraId="29C23515" w14:textId="77777777" w:rsidR="005A70EB" w:rsidRPr="0054296C" w:rsidRDefault="005A70EB" w:rsidP="005A70E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臨床醫師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對於BNT162b2疫苗接種後可能發生心肌炎或心</w:t>
      </w:r>
      <w:proofErr w:type="gramStart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包膜炎之</w:t>
      </w:r>
      <w:proofErr w:type="gramEnd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診治評估事項，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請參考「mRNA疫苗接種後心肌炎/心</w:t>
      </w:r>
      <w:proofErr w:type="gramStart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包膜炎指引</w:t>
      </w:r>
      <w:proofErr w:type="gramEnd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」(COVID-19疫苗&gt;相關指引&gt;COVID-19疫苗接種之臨床處置與建議)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。</w:t>
      </w:r>
    </w:p>
    <w:p w14:paraId="1A7B2BCA" w14:textId="77777777" w:rsidR="005A70EB" w:rsidRPr="0054296C" w:rsidRDefault="005A70EB" w:rsidP="005A70E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完成疫苗接種後，雖</w:t>
      </w:r>
      <w:r w:rsidRPr="006E0D5D"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  <w:t>可降低</w:t>
      </w:r>
      <w:proofErr w:type="gramStart"/>
      <w:r w:rsidRPr="006E0D5D"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  <w:t>罹</w:t>
      </w:r>
      <w:proofErr w:type="gramEnd"/>
      <w:r w:rsidRPr="006E0D5D"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  <w:t>患COVID-19的機率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，但</w:t>
      </w:r>
      <w:r w:rsidRPr="006E0D5D"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  <w:t>仍有可能感染SARS-CoV-2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，民眾仍需注重保健與各種防疫措施，以維護身體健康。</w:t>
      </w:r>
    </w:p>
    <w:p w14:paraId="024BB0F7" w14:textId="77777777" w:rsidR="005A70EB" w:rsidRPr="0054296C" w:rsidRDefault="005A70EB" w:rsidP="005A70EB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依據疫苗第三期臨床試驗結果，於</w:t>
      </w:r>
      <w:proofErr w:type="gramStart"/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各劑次</w:t>
      </w:r>
      <w:proofErr w:type="gramEnd"/>
      <w:r w:rsidRPr="006E0D5D">
        <w:rPr>
          <w:rFonts w:ascii="標楷體" w:eastAsia="標楷體" w:hAnsi="標楷體" w:cs="Helvetica"/>
          <w:b/>
          <w:bCs/>
          <w:color w:val="FF0000"/>
          <w:kern w:val="0"/>
          <w:sz w:val="26"/>
          <w:szCs w:val="26"/>
        </w:rPr>
        <w:t>接種後7天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可能發生之反應及平均頻率參考資料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  <w:vertAlign w:val="superscript"/>
        </w:rPr>
        <w:t>2,3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此表格第一列為表頭，表頭項目包含第一欄：常見副作用、第二欄：頻率。"/>
      </w:tblPr>
      <w:tblGrid>
        <w:gridCol w:w="2251"/>
        <w:gridCol w:w="4665"/>
        <w:gridCol w:w="3272"/>
      </w:tblGrid>
      <w:tr w:rsidR="005A70EB" w:rsidRPr="0054296C" w14:paraId="23911A38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09945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b/>
                <w:bCs/>
                <w:color w:val="333333"/>
                <w:kern w:val="0"/>
                <w:sz w:val="26"/>
                <w:szCs w:val="26"/>
              </w:rPr>
              <w:t>年齡層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4C5FB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6E0D5D">
              <w:rPr>
                <w:rFonts w:ascii="標楷體" w:eastAsia="標楷體" w:hAnsi="標楷體" w:cs="Helvetica"/>
                <w:b/>
                <w:bCs/>
                <w:color w:val="7030A0"/>
                <w:kern w:val="0"/>
                <w:sz w:val="26"/>
                <w:szCs w:val="26"/>
              </w:rPr>
              <w:t>年滿16歲以上</w:t>
            </w:r>
            <w:r w:rsidRPr="0054296C">
              <w:rPr>
                <w:rFonts w:ascii="標楷體" w:eastAsia="標楷體" w:hAnsi="標楷體" w:cs="Helvetica"/>
                <w:b/>
                <w:bCs/>
                <w:color w:val="333333"/>
                <w:kern w:val="0"/>
                <w:sz w:val="26"/>
                <w:szCs w:val="26"/>
              </w:rPr>
              <w:t>青少年及成人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C1DD4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6E0D5D">
              <w:rPr>
                <w:rFonts w:ascii="標楷體" w:eastAsia="標楷體" w:hAnsi="標楷體" w:cs="Helvetica"/>
                <w:b/>
                <w:bCs/>
                <w:color w:val="7030A0"/>
                <w:kern w:val="0"/>
                <w:sz w:val="26"/>
                <w:szCs w:val="26"/>
              </w:rPr>
              <w:t>12至15歲</w:t>
            </w:r>
            <w:r w:rsidRPr="0054296C">
              <w:rPr>
                <w:rFonts w:ascii="標楷體" w:eastAsia="標楷體" w:hAnsi="標楷體" w:cs="Helvetica"/>
                <w:b/>
                <w:bCs/>
                <w:color w:val="333333"/>
                <w:kern w:val="0"/>
                <w:sz w:val="26"/>
                <w:szCs w:val="26"/>
              </w:rPr>
              <w:t>的青少年</w:t>
            </w:r>
          </w:p>
        </w:tc>
      </w:tr>
      <w:tr w:rsidR="005A70EB" w:rsidRPr="0054296C" w14:paraId="346615FA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7A5C5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b/>
                <w:bCs/>
                <w:color w:val="333333"/>
                <w:kern w:val="0"/>
                <w:sz w:val="26"/>
                <w:szCs w:val="26"/>
              </w:rPr>
              <w:t>常見副作用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F3EBA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b/>
                <w:bCs/>
                <w:color w:val="333333"/>
                <w:kern w:val="0"/>
                <w:sz w:val="26"/>
                <w:szCs w:val="26"/>
              </w:rPr>
              <w:t>頻率</w:t>
            </w:r>
          </w:p>
        </w:tc>
      </w:tr>
      <w:tr w:rsidR="005A70EB" w:rsidRPr="0054296C" w14:paraId="3380175E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5D855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6E0D5D">
              <w:rPr>
                <w:rFonts w:ascii="標楷體" w:eastAsia="標楷體" w:hAnsi="標楷體" w:cs="Helvetica"/>
                <w:b/>
                <w:bCs/>
                <w:color w:val="FF0000"/>
                <w:kern w:val="0"/>
                <w:sz w:val="26"/>
                <w:szCs w:val="26"/>
              </w:rPr>
              <w:t>注射部位疼痛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91DC8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84.1%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84085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90.5%</w:t>
            </w:r>
          </w:p>
        </w:tc>
      </w:tr>
      <w:tr w:rsidR="005A70EB" w:rsidRPr="0054296C" w14:paraId="49ADD743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D3DF3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6E0D5D">
              <w:rPr>
                <w:rFonts w:ascii="標楷體" w:eastAsia="標楷體" w:hAnsi="標楷體" w:cs="Helvetica"/>
                <w:b/>
                <w:bCs/>
                <w:color w:val="FF0000"/>
                <w:kern w:val="0"/>
                <w:sz w:val="26"/>
                <w:szCs w:val="26"/>
              </w:rPr>
              <w:t>疲倦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E7416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62.9%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83D8C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77.5%</w:t>
            </w:r>
          </w:p>
        </w:tc>
      </w:tr>
      <w:tr w:rsidR="005A70EB" w:rsidRPr="0054296C" w14:paraId="5803DE9D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7F00B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6E0D5D">
              <w:rPr>
                <w:rFonts w:ascii="標楷體" w:eastAsia="標楷體" w:hAnsi="標楷體" w:cs="Helvetica"/>
                <w:b/>
                <w:bCs/>
                <w:color w:val="FF0000"/>
                <w:kern w:val="0"/>
                <w:sz w:val="26"/>
                <w:szCs w:val="26"/>
              </w:rPr>
              <w:t>頭痛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0B381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55.1%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35014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75.5%</w:t>
            </w:r>
          </w:p>
        </w:tc>
      </w:tr>
      <w:tr w:rsidR="005A70EB" w:rsidRPr="0054296C" w14:paraId="2739B315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01496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6E0D5D">
              <w:rPr>
                <w:rFonts w:ascii="標楷體" w:eastAsia="標楷體" w:hAnsi="標楷體" w:cs="Helvetica"/>
                <w:b/>
                <w:bCs/>
                <w:color w:val="FF0000"/>
                <w:kern w:val="0"/>
                <w:sz w:val="26"/>
                <w:szCs w:val="26"/>
              </w:rPr>
              <w:t>肌肉痛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29961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38.3%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304BE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42.2%</w:t>
            </w:r>
          </w:p>
        </w:tc>
      </w:tr>
      <w:tr w:rsidR="005A70EB" w:rsidRPr="0054296C" w14:paraId="11C75A95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80019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6E0D5D">
              <w:rPr>
                <w:rFonts w:ascii="標楷體" w:eastAsia="標楷體" w:hAnsi="標楷體" w:cs="Helvetica"/>
                <w:b/>
                <w:bCs/>
                <w:color w:val="FF0000"/>
                <w:kern w:val="0"/>
                <w:sz w:val="26"/>
                <w:szCs w:val="26"/>
              </w:rPr>
              <w:t>畏寒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8A642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31.9%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F1077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49.2%</w:t>
            </w:r>
          </w:p>
        </w:tc>
      </w:tr>
      <w:tr w:rsidR="005A70EB" w:rsidRPr="0054296C" w14:paraId="679995C4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AC632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6E0D5D">
              <w:rPr>
                <w:rFonts w:ascii="標楷體" w:eastAsia="標楷體" w:hAnsi="標楷體" w:cs="Helvetica"/>
                <w:b/>
                <w:bCs/>
                <w:color w:val="FF0000"/>
                <w:kern w:val="0"/>
                <w:sz w:val="26"/>
                <w:szCs w:val="26"/>
              </w:rPr>
              <w:t>關節痛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22B40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23.6%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23434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20.2%</w:t>
            </w:r>
          </w:p>
        </w:tc>
      </w:tr>
      <w:tr w:rsidR="005A70EB" w:rsidRPr="0054296C" w14:paraId="78E28E91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3691B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6E0D5D">
              <w:rPr>
                <w:rFonts w:ascii="標楷體" w:eastAsia="標楷體" w:hAnsi="標楷體" w:cs="Helvetica"/>
                <w:b/>
                <w:bCs/>
                <w:color w:val="FF0000"/>
                <w:kern w:val="0"/>
                <w:sz w:val="26"/>
                <w:szCs w:val="26"/>
              </w:rPr>
              <w:t>發燒(&gt;38度)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3EFAD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14.2%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E828A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24.3%</w:t>
            </w:r>
          </w:p>
        </w:tc>
      </w:tr>
    </w:tbl>
    <w:p w14:paraId="268457DA" w14:textId="77777777" w:rsidR="005A70EB" w:rsidRPr="0054296C" w:rsidRDefault="005A70EB" w:rsidP="005A70EB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</w:rPr>
        <w:t>臨床試驗與上市後經驗之年滿12歲接種者的不良反應</w:t>
      </w:r>
      <w:r w:rsidRPr="0054296C">
        <w:rPr>
          <w:rFonts w:ascii="標楷體" w:eastAsia="標楷體" w:hAnsi="標楷體" w:cs="Helvetica"/>
          <w:b/>
          <w:bCs/>
          <w:color w:val="333333"/>
          <w:kern w:val="0"/>
          <w:sz w:val="26"/>
          <w:szCs w:val="26"/>
          <w:vertAlign w:val="superscript"/>
        </w:rPr>
        <w:t>2,3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此表格第一列為表頭，表頭項目包含第一欄：發生率、第二欄：症狀。"/>
      </w:tblPr>
      <w:tblGrid>
        <w:gridCol w:w="2645"/>
        <w:gridCol w:w="7543"/>
      </w:tblGrid>
      <w:tr w:rsidR="005A70EB" w:rsidRPr="0054296C" w14:paraId="0AD6212E" w14:textId="77777777" w:rsidTr="005A70E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B0476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b/>
                <w:bCs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b/>
                <w:bCs/>
                <w:color w:val="333333"/>
                <w:kern w:val="0"/>
                <w:sz w:val="26"/>
                <w:szCs w:val="26"/>
              </w:rPr>
              <w:t>發生率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6FA89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b/>
                <w:bCs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b/>
                <w:bCs/>
                <w:color w:val="333333"/>
                <w:kern w:val="0"/>
                <w:sz w:val="26"/>
                <w:szCs w:val="26"/>
              </w:rPr>
              <w:t>症狀</w:t>
            </w:r>
          </w:p>
        </w:tc>
      </w:tr>
      <w:tr w:rsidR="005A70EB" w:rsidRPr="0054296C" w14:paraId="12ED0BC5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39928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b/>
                <w:bCs/>
                <w:color w:val="333333"/>
                <w:kern w:val="0"/>
                <w:sz w:val="26"/>
                <w:szCs w:val="26"/>
              </w:rPr>
              <w:t>極常見(1/10~1/100)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77D42" w14:textId="77777777" w:rsidR="005A70EB" w:rsidRPr="006E0D5D" w:rsidRDefault="005A70EB" w:rsidP="005A70EB">
            <w:pPr>
              <w:widowControl/>
              <w:rPr>
                <w:rFonts w:ascii="標楷體" w:eastAsia="標楷體" w:hAnsi="標楷體" w:cs="Helvetica"/>
                <w:b/>
                <w:color w:val="333333"/>
                <w:kern w:val="0"/>
                <w:sz w:val="26"/>
                <w:szCs w:val="26"/>
              </w:rPr>
            </w:pPr>
            <w:r w:rsidRPr="006E0D5D">
              <w:rPr>
                <w:rFonts w:ascii="標楷體" w:eastAsia="標楷體" w:hAnsi="標楷體" w:cs="Helvetica"/>
                <w:b/>
                <w:color w:val="C00000"/>
                <w:kern w:val="0"/>
                <w:sz w:val="26"/>
                <w:szCs w:val="26"/>
              </w:rPr>
              <w:t>頭痛</w:t>
            </w:r>
            <w:r w:rsidRPr="006E0D5D">
              <w:rPr>
                <w:rFonts w:ascii="標楷體" w:eastAsia="標楷體" w:hAnsi="標楷體" w:cs="Helvetica"/>
                <w:b/>
                <w:color w:val="333333"/>
                <w:kern w:val="0"/>
                <w:sz w:val="26"/>
                <w:szCs w:val="26"/>
              </w:rPr>
              <w:t>、</w:t>
            </w:r>
            <w:r w:rsidRPr="006E0D5D">
              <w:rPr>
                <w:rFonts w:ascii="標楷體" w:eastAsia="標楷體" w:hAnsi="標楷體" w:cs="Helvetica"/>
                <w:b/>
                <w:color w:val="00B050"/>
                <w:kern w:val="0"/>
                <w:sz w:val="26"/>
                <w:szCs w:val="26"/>
              </w:rPr>
              <w:t>腹瀉</w:t>
            </w:r>
            <w:r w:rsidRPr="006E0D5D">
              <w:rPr>
                <w:rFonts w:ascii="標楷體" w:eastAsia="標楷體" w:hAnsi="標楷體" w:cs="Helvetica"/>
                <w:b/>
                <w:color w:val="333333"/>
                <w:kern w:val="0"/>
                <w:sz w:val="26"/>
                <w:szCs w:val="26"/>
              </w:rPr>
              <w:t>、</w:t>
            </w:r>
            <w:r w:rsidRPr="006E0D5D">
              <w:rPr>
                <w:rFonts w:ascii="標楷體" w:eastAsia="標楷體" w:hAnsi="標楷體" w:cs="Helvetica"/>
                <w:b/>
                <w:color w:val="FF0000"/>
                <w:kern w:val="0"/>
                <w:sz w:val="26"/>
                <w:szCs w:val="26"/>
              </w:rPr>
              <w:t>關節痛</w:t>
            </w:r>
            <w:r w:rsidRPr="006E0D5D">
              <w:rPr>
                <w:rFonts w:ascii="標楷體" w:eastAsia="標楷體" w:hAnsi="標楷體" w:cs="Helvetica"/>
                <w:b/>
                <w:color w:val="333333"/>
                <w:kern w:val="0"/>
                <w:sz w:val="26"/>
                <w:szCs w:val="26"/>
              </w:rPr>
              <w:t>、肌痛、</w:t>
            </w:r>
            <w:r w:rsidRPr="006E0D5D">
              <w:rPr>
                <w:rFonts w:ascii="標楷體" w:eastAsia="標楷體" w:hAnsi="標楷體" w:cs="Helvetica"/>
                <w:b/>
                <w:color w:val="00B0F0"/>
                <w:kern w:val="0"/>
                <w:sz w:val="26"/>
                <w:szCs w:val="26"/>
              </w:rPr>
              <w:t>注射部位</w:t>
            </w:r>
            <w:proofErr w:type="gramStart"/>
            <w:r w:rsidRPr="006E0D5D">
              <w:rPr>
                <w:rFonts w:ascii="標楷體" w:eastAsia="標楷體" w:hAnsi="標楷體" w:cs="Helvetica"/>
                <w:b/>
                <w:color w:val="00B0F0"/>
                <w:kern w:val="0"/>
                <w:sz w:val="26"/>
                <w:szCs w:val="26"/>
              </w:rPr>
              <w:t>疼痛</w:t>
            </w:r>
            <w:r w:rsidRPr="006E0D5D">
              <w:rPr>
                <w:rFonts w:ascii="標楷體" w:eastAsia="標楷體" w:hAnsi="標楷體" w:cs="Helvetica"/>
                <w:b/>
                <w:color w:val="333333"/>
                <w:kern w:val="0"/>
                <w:sz w:val="26"/>
                <w:szCs w:val="26"/>
              </w:rPr>
              <w:t>、</w:t>
            </w:r>
            <w:r w:rsidRPr="006E0D5D">
              <w:rPr>
                <w:rFonts w:ascii="標楷體" w:eastAsia="標楷體" w:hAnsi="標楷體" w:cs="Helvetica"/>
                <w:b/>
                <w:color w:val="002060"/>
                <w:kern w:val="0"/>
                <w:sz w:val="26"/>
                <w:szCs w:val="26"/>
              </w:rPr>
              <w:t>疲勞</w:t>
            </w:r>
            <w:r w:rsidRPr="006E0D5D">
              <w:rPr>
                <w:rFonts w:ascii="標楷體" w:eastAsia="標楷體" w:hAnsi="標楷體" w:cs="Helvetica"/>
                <w:b/>
                <w:color w:val="333333"/>
                <w:kern w:val="0"/>
                <w:sz w:val="26"/>
                <w:szCs w:val="26"/>
              </w:rPr>
              <w:t>、</w:t>
            </w:r>
            <w:proofErr w:type="gramEnd"/>
            <w:r w:rsidRPr="006E0D5D">
              <w:rPr>
                <w:rFonts w:ascii="標楷體" w:eastAsia="標楷體" w:hAnsi="標楷體" w:cs="Helvetica"/>
                <w:b/>
                <w:color w:val="7030A0"/>
                <w:kern w:val="0"/>
                <w:sz w:val="26"/>
                <w:szCs w:val="26"/>
              </w:rPr>
              <w:t>畏寒</w:t>
            </w:r>
            <w:r w:rsidRPr="006E0D5D">
              <w:rPr>
                <w:rFonts w:ascii="標楷體" w:eastAsia="標楷體" w:hAnsi="標楷體" w:cs="Helvetica"/>
                <w:b/>
                <w:color w:val="333333"/>
                <w:kern w:val="0"/>
                <w:sz w:val="26"/>
                <w:szCs w:val="26"/>
              </w:rPr>
              <w:t>、</w:t>
            </w:r>
            <w:r w:rsidRPr="006E0D5D">
              <w:rPr>
                <w:rFonts w:ascii="標楷體" w:eastAsia="標楷體" w:hAnsi="標楷體" w:cs="Helvetica"/>
                <w:b/>
                <w:color w:val="833C0B" w:themeColor="accent2" w:themeShade="80"/>
                <w:kern w:val="0"/>
                <w:sz w:val="26"/>
                <w:szCs w:val="26"/>
              </w:rPr>
              <w:t>發燒</w:t>
            </w:r>
            <w:r w:rsidRPr="006E0D5D">
              <w:rPr>
                <w:rFonts w:ascii="標楷體" w:eastAsia="標楷體" w:hAnsi="標楷體" w:cs="Helvetica"/>
                <w:b/>
                <w:color w:val="333333"/>
                <w:kern w:val="0"/>
                <w:sz w:val="26"/>
                <w:szCs w:val="26"/>
              </w:rPr>
              <w:t>a、</w:t>
            </w:r>
            <w:r w:rsidRPr="00226FD6">
              <w:rPr>
                <w:rFonts w:ascii="標楷體" w:eastAsia="標楷體" w:hAnsi="標楷體" w:cs="Helvetica"/>
                <w:b/>
                <w:color w:val="385623" w:themeColor="accent6" w:themeShade="80"/>
                <w:kern w:val="0"/>
                <w:sz w:val="26"/>
                <w:szCs w:val="26"/>
              </w:rPr>
              <w:t>注射部位腫脹</w:t>
            </w:r>
          </w:p>
        </w:tc>
      </w:tr>
      <w:tr w:rsidR="005A70EB" w:rsidRPr="0054296C" w14:paraId="1EC82C7C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94049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b/>
                <w:bCs/>
                <w:color w:val="333333"/>
                <w:kern w:val="0"/>
                <w:sz w:val="26"/>
                <w:szCs w:val="26"/>
              </w:rPr>
              <w:t>常見(1/10~1/100)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40171" w14:textId="77777777" w:rsidR="005A70EB" w:rsidRPr="00226FD6" w:rsidRDefault="005A70EB" w:rsidP="005A70EB">
            <w:pPr>
              <w:widowControl/>
              <w:rPr>
                <w:rFonts w:ascii="標楷體" w:eastAsia="標楷體" w:hAnsi="標楷體" w:cs="Helvetica"/>
                <w:b/>
                <w:color w:val="333333"/>
                <w:kern w:val="0"/>
                <w:sz w:val="26"/>
                <w:szCs w:val="26"/>
              </w:rPr>
            </w:pPr>
            <w:r w:rsidRPr="00226FD6">
              <w:rPr>
                <w:rFonts w:ascii="標楷體" w:eastAsia="標楷體" w:hAnsi="標楷體" w:cs="Helvetica"/>
                <w:b/>
                <w:color w:val="1F3864" w:themeColor="accent1" w:themeShade="80"/>
                <w:kern w:val="0"/>
                <w:sz w:val="26"/>
                <w:szCs w:val="26"/>
              </w:rPr>
              <w:t>噁心</w:t>
            </w:r>
            <w:r w:rsidRPr="00226FD6">
              <w:rPr>
                <w:rFonts w:ascii="標楷體" w:eastAsia="標楷體" w:hAnsi="標楷體" w:cs="Helvetica"/>
                <w:b/>
                <w:color w:val="333333"/>
                <w:kern w:val="0"/>
                <w:sz w:val="26"/>
                <w:szCs w:val="26"/>
              </w:rPr>
              <w:t>、</w:t>
            </w:r>
            <w:r w:rsidRPr="00226FD6">
              <w:rPr>
                <w:rFonts w:ascii="標楷體" w:eastAsia="標楷體" w:hAnsi="標楷體" w:cs="Helvetica"/>
                <w:b/>
                <w:color w:val="BF8F00" w:themeColor="accent4" w:themeShade="BF"/>
                <w:kern w:val="0"/>
                <w:sz w:val="26"/>
                <w:szCs w:val="26"/>
              </w:rPr>
              <w:t>嘔吐</w:t>
            </w:r>
          </w:p>
        </w:tc>
      </w:tr>
      <w:tr w:rsidR="005A70EB" w:rsidRPr="0054296C" w14:paraId="5AD7AAE6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F6220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5452C">
              <w:rPr>
                <w:rFonts w:ascii="標楷體" w:eastAsia="標楷體" w:hAnsi="標楷體" w:cs="Helvetica"/>
                <w:b/>
                <w:bCs/>
                <w:color w:val="FF0000"/>
                <w:kern w:val="0"/>
                <w:sz w:val="26"/>
                <w:szCs w:val="26"/>
              </w:rPr>
              <w:t>不常見(1/100~1/1,000)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40744" w14:textId="77777777" w:rsidR="005A70EB" w:rsidRPr="0011353E" w:rsidRDefault="005A70EB" w:rsidP="005A70EB">
            <w:pPr>
              <w:widowControl/>
              <w:rPr>
                <w:rFonts w:ascii="標楷體" w:eastAsia="標楷體" w:hAnsi="標楷體" w:cs="Helvetica"/>
                <w:b/>
                <w:color w:val="333333"/>
                <w:kern w:val="0"/>
                <w:sz w:val="26"/>
                <w:szCs w:val="26"/>
              </w:rPr>
            </w:pPr>
            <w:r w:rsidRPr="0011353E">
              <w:rPr>
                <w:rFonts w:ascii="標楷體" w:eastAsia="標楷體" w:hAnsi="標楷體" w:cs="Helvetica"/>
                <w:b/>
                <w:color w:val="333333"/>
                <w:kern w:val="0"/>
                <w:sz w:val="26"/>
                <w:szCs w:val="26"/>
              </w:rPr>
              <w:t>淋巴結腫大、過敏反應(例如：皮疹、搔癢、蕁麻疹b、血管性水腫b)、失眠、肢體疼痛c、身體不適、注射部位搔癢</w:t>
            </w:r>
          </w:p>
        </w:tc>
      </w:tr>
      <w:tr w:rsidR="005A70EB" w:rsidRPr="0054296C" w14:paraId="2F8D741D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410B3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b/>
                <w:bCs/>
                <w:color w:val="333333"/>
                <w:kern w:val="0"/>
                <w:sz w:val="26"/>
                <w:szCs w:val="26"/>
              </w:rPr>
              <w:lastRenderedPageBreak/>
              <w:t>罕見(1/1,000~1/10,000)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16004" w14:textId="77777777" w:rsidR="005A70EB" w:rsidRPr="0054296C" w:rsidRDefault="005A70EB" w:rsidP="005A70EB">
            <w:pPr>
              <w:widowControl/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</w:pPr>
            <w:r w:rsidRPr="0054296C">
              <w:rPr>
                <w:rFonts w:ascii="標楷體" w:eastAsia="標楷體" w:hAnsi="標楷體" w:cs="Helvetica"/>
                <w:color w:val="333333"/>
                <w:kern w:val="0"/>
                <w:sz w:val="26"/>
                <w:szCs w:val="26"/>
              </w:rPr>
              <w:t>顏面神經麻痺d</w:t>
            </w:r>
          </w:p>
        </w:tc>
      </w:tr>
      <w:tr w:rsidR="005A70EB" w:rsidRPr="0054296C" w14:paraId="7C64ACE0" w14:textId="77777777" w:rsidTr="005A7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C3D46" w14:textId="77777777" w:rsidR="005A70EB" w:rsidRPr="00226FD6" w:rsidRDefault="005A70EB" w:rsidP="005A70EB">
            <w:pPr>
              <w:widowControl/>
              <w:rPr>
                <w:rFonts w:ascii="標楷體" w:eastAsia="標楷體" w:hAnsi="標楷體" w:cs="Helvetica"/>
                <w:color w:val="00B050"/>
                <w:kern w:val="0"/>
                <w:sz w:val="26"/>
                <w:szCs w:val="26"/>
              </w:rPr>
            </w:pPr>
            <w:r w:rsidRPr="00226FD6">
              <w:rPr>
                <w:rFonts w:ascii="標楷體" w:eastAsia="標楷體" w:hAnsi="標楷體" w:cs="Helvetica"/>
                <w:bCs/>
                <w:color w:val="C00000"/>
                <w:kern w:val="0"/>
                <w:sz w:val="26"/>
                <w:szCs w:val="26"/>
              </w:rPr>
              <w:t>目前尚不清楚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77DDF" w14:textId="77777777" w:rsidR="005A70EB" w:rsidRPr="00226FD6" w:rsidRDefault="005A70EB" w:rsidP="005A70EB">
            <w:pPr>
              <w:widowControl/>
              <w:rPr>
                <w:rFonts w:ascii="標楷體" w:eastAsia="標楷體" w:hAnsi="標楷體" w:cs="Helvetica"/>
                <w:color w:val="00B050"/>
                <w:kern w:val="0"/>
                <w:sz w:val="26"/>
                <w:szCs w:val="26"/>
              </w:rPr>
            </w:pPr>
            <w:r w:rsidRPr="00226FD6">
              <w:rPr>
                <w:rFonts w:ascii="標楷體" w:eastAsia="標楷體" w:hAnsi="標楷體" w:cs="Helvetica"/>
                <w:color w:val="C00000"/>
                <w:kern w:val="0"/>
                <w:sz w:val="26"/>
                <w:szCs w:val="26"/>
              </w:rPr>
              <w:t>全身性嚴重過敏反應</w:t>
            </w:r>
            <w:r w:rsidRPr="00226FD6">
              <w:rPr>
                <w:rFonts w:ascii="標楷體" w:eastAsia="標楷體" w:hAnsi="標楷體" w:cs="Helvetica"/>
                <w:color w:val="00B050"/>
                <w:kern w:val="0"/>
                <w:sz w:val="26"/>
                <w:szCs w:val="26"/>
              </w:rPr>
              <w:t>、</w:t>
            </w:r>
            <w:r w:rsidRPr="00226FD6">
              <w:rPr>
                <w:rFonts w:ascii="標楷體" w:eastAsia="標楷體" w:hAnsi="標楷體" w:cs="Helvetica"/>
                <w:b/>
                <w:color w:val="00B050"/>
                <w:kern w:val="0"/>
                <w:sz w:val="26"/>
                <w:szCs w:val="26"/>
              </w:rPr>
              <w:t>心肌炎e、心</w:t>
            </w:r>
            <w:proofErr w:type="gramStart"/>
            <w:r w:rsidRPr="00226FD6">
              <w:rPr>
                <w:rFonts w:ascii="標楷體" w:eastAsia="標楷體" w:hAnsi="標楷體" w:cs="Helvetica"/>
                <w:b/>
                <w:color w:val="00B050"/>
                <w:kern w:val="0"/>
                <w:sz w:val="26"/>
                <w:szCs w:val="26"/>
              </w:rPr>
              <w:t>包膜炎</w:t>
            </w:r>
            <w:proofErr w:type="gramEnd"/>
            <w:r w:rsidRPr="00226FD6">
              <w:rPr>
                <w:rFonts w:ascii="標楷體" w:eastAsia="標楷體" w:hAnsi="標楷體" w:cs="Helvetica"/>
                <w:b/>
                <w:color w:val="00B050"/>
                <w:kern w:val="0"/>
                <w:sz w:val="26"/>
                <w:szCs w:val="26"/>
              </w:rPr>
              <w:t>e</w:t>
            </w:r>
          </w:p>
        </w:tc>
      </w:tr>
    </w:tbl>
    <w:p w14:paraId="1C24784D" w14:textId="77777777" w:rsidR="0054296C" w:rsidRDefault="0054296C" w:rsidP="005A70EB">
      <w:pPr>
        <w:widowControl/>
        <w:shd w:val="clear" w:color="auto" w:fill="FFFFFF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</w:p>
    <w:p w14:paraId="3D48F78D" w14:textId="5438A526" w:rsidR="005A70EB" w:rsidRPr="00226FD6" w:rsidRDefault="005A70EB" w:rsidP="005A70EB">
      <w:pPr>
        <w:widowControl/>
        <w:shd w:val="clear" w:color="auto" w:fill="FFFFFF"/>
        <w:rPr>
          <w:rFonts w:ascii="標楷體" w:eastAsia="標楷體" w:hAnsi="標楷體" w:cs="Helvetica"/>
          <w:b/>
          <w:color w:val="00B050"/>
          <w:kern w:val="0"/>
          <w:sz w:val="28"/>
          <w:szCs w:val="28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a.接種第二劑之後的發燒發生率較高。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br/>
        <w:t>b.蕁麻疹和血管性水腫的發生率屬於罕見類別。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br/>
        <w:t>c.指接種疫苗的手臂。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br/>
        <w:t>d.在截至2020年11月14日的臨床試驗安全性追蹤</w:t>
      </w:r>
      <w:proofErr w:type="gramStart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期間，</w:t>
      </w:r>
      <w:proofErr w:type="gramEnd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BNT162b2疫苗組有4名受試者發生顏面神經麻痺症狀出現時間在第1劑接種後第37天（受試者未接種第2劑）以及第2劑接種後第3、9和48天。</w:t>
      </w:r>
      <w:proofErr w:type="gramStart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安慰劑組無顏面</w:t>
      </w:r>
      <w:proofErr w:type="gramEnd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神經麻痺病例。</w:t>
      </w: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br/>
        <w:t>e.上市許可後確認的不良反應。另依據美國FDA上市後監測資料(2021/8/23)，心肌炎及心包</w:t>
      </w:r>
      <w:proofErr w:type="gramStart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膜炎相</w:t>
      </w:r>
      <w:proofErr w:type="gramEnd"/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較於女性及年長男性常發生於40歲以下男性，</w:t>
      </w:r>
      <w:r w:rsidRPr="00226FD6">
        <w:rPr>
          <w:rFonts w:ascii="標楷體" w:eastAsia="標楷體" w:hAnsi="標楷體" w:cs="Helvetica"/>
          <w:b/>
          <w:color w:val="00B050"/>
          <w:kern w:val="0"/>
          <w:sz w:val="28"/>
          <w:szCs w:val="28"/>
        </w:rPr>
        <w:t>目前觀察風險較高為12至17歲青少年2，經短期追蹤大多數個案經過治療後</w:t>
      </w:r>
      <w:proofErr w:type="gramStart"/>
      <w:r w:rsidRPr="00226FD6">
        <w:rPr>
          <w:rFonts w:ascii="標楷體" w:eastAsia="標楷體" w:hAnsi="標楷體" w:cs="Helvetica"/>
          <w:b/>
          <w:color w:val="00B050"/>
          <w:kern w:val="0"/>
          <w:sz w:val="28"/>
          <w:szCs w:val="28"/>
        </w:rPr>
        <w:t>症狀已緩解</w:t>
      </w:r>
      <w:proofErr w:type="gramEnd"/>
      <w:r w:rsidRPr="00226FD6">
        <w:rPr>
          <w:rFonts w:ascii="標楷體" w:eastAsia="標楷體" w:hAnsi="標楷體" w:cs="Helvetica"/>
          <w:b/>
          <w:color w:val="00B050"/>
          <w:kern w:val="0"/>
          <w:sz w:val="28"/>
          <w:szCs w:val="28"/>
        </w:rPr>
        <w:t xml:space="preserve">。 </w:t>
      </w:r>
    </w:p>
    <w:p w14:paraId="334D9E89" w14:textId="77777777" w:rsidR="005A70EB" w:rsidRPr="0054296C" w:rsidRDefault="005A70EB" w:rsidP="005A70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95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  <w:r w:rsidRPr="0054296C">
        <w:rPr>
          <w:rFonts w:ascii="標楷體" w:eastAsia="標楷體" w:hAnsi="標楷體" w:cs="Helvetica"/>
          <w:color w:val="333333"/>
          <w:kern w:val="0"/>
          <w:sz w:val="26"/>
          <w:szCs w:val="26"/>
        </w:rPr>
        <w:t>另依據美國V-safe蒐集青少年(12-15歲)接種第一劑(&gt;57,000人)和第二劑(&gt;16,000人)的BNT疫苗後0-7天之資料，顯示發生的不良事件是從臨床試驗中可預期的，注射部位疼痛是最常被通報的不良事件；而發生不良事件後需要急診或就醫的比例與16~25歲族群相近(第一劑0.1%、第二劑0.2%)4</w:t>
      </w:r>
    </w:p>
    <w:p w14:paraId="537AFBA5" w14:textId="77777777" w:rsidR="00226FD6" w:rsidRDefault="00226FD6" w:rsidP="005A70EB">
      <w:pPr>
        <w:widowControl/>
        <w:shd w:val="clear" w:color="auto" w:fill="FFFFFF"/>
        <w:rPr>
          <w:rFonts w:ascii="標楷體" w:eastAsia="標楷體" w:hAnsi="標楷體" w:cs="Helvetica"/>
          <w:color w:val="333333"/>
          <w:kern w:val="0"/>
          <w:sz w:val="26"/>
          <w:szCs w:val="26"/>
        </w:rPr>
      </w:pPr>
    </w:p>
    <w:p w14:paraId="43C7BE18" w14:textId="11A71FC8" w:rsidR="005A70EB" w:rsidRPr="00226FD6" w:rsidRDefault="005A70EB" w:rsidP="005A70EB">
      <w:pPr>
        <w:widowControl/>
        <w:shd w:val="clear" w:color="auto" w:fill="FFFFFF"/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</w:pPr>
      <w:r w:rsidRPr="00226FD6">
        <w:rPr>
          <w:rFonts w:ascii="標楷體" w:eastAsia="標楷體" w:hAnsi="標楷體" w:cs="Helvetica"/>
          <w:b/>
          <w:color w:val="C00000"/>
          <w:kern w:val="0"/>
          <w:sz w:val="28"/>
          <w:szCs w:val="28"/>
        </w:rPr>
        <w:t>疫苗其他成分</w:t>
      </w:r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：</w:t>
      </w:r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br/>
        <w:t>本疫苗成分尚包含</w:t>
      </w:r>
      <w:r w:rsidRPr="00226FD6">
        <w:rPr>
          <w:rFonts w:ascii="標楷體" w:eastAsia="標楷體" w:hAnsi="標楷體" w:cs="Helvetica"/>
          <w:b/>
          <w:color w:val="1F4E79" w:themeColor="accent5" w:themeShade="80"/>
          <w:kern w:val="0"/>
          <w:sz w:val="28"/>
          <w:szCs w:val="28"/>
        </w:rPr>
        <w:t>脂類</w:t>
      </w:r>
      <w:proofErr w:type="gramStart"/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｛</w:t>
      </w:r>
      <w:proofErr w:type="gramEnd"/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（4-羥丁基）</w:t>
      </w:r>
      <w:proofErr w:type="gramStart"/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氮雜</w:t>
      </w:r>
      <w:proofErr w:type="gramEnd"/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二基</w:t>
      </w:r>
      <w:proofErr w:type="gramStart"/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）</w:t>
      </w:r>
      <w:proofErr w:type="gramEnd"/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雙（己烷-6,1-二基）雙（2-己基</w:t>
      </w:r>
      <w:proofErr w:type="gramStart"/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癸酸酯）</w:t>
      </w:r>
      <w:proofErr w:type="gramEnd"/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、2 [（聚乙二醇）-2000] N，N-二十四烷基乙醯胺、1，2-二硬脂基-</w:t>
      </w:r>
      <w:proofErr w:type="spellStart"/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sn</w:t>
      </w:r>
      <w:proofErr w:type="spellEnd"/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-甘油-3-磷酸膽鹼</w:t>
      </w:r>
      <w:proofErr w:type="gramStart"/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｝</w:t>
      </w:r>
      <w:proofErr w:type="gramEnd"/>
      <w:r w:rsidRPr="00226FD6">
        <w:rPr>
          <w:rFonts w:ascii="標楷體" w:eastAsia="標楷體" w:hAnsi="標楷體" w:cs="Helvetica"/>
          <w:color w:val="333333"/>
          <w:kern w:val="0"/>
          <w:sz w:val="28"/>
          <w:szCs w:val="28"/>
        </w:rPr>
        <w:t>和</w:t>
      </w:r>
      <w:r w:rsidRPr="00226FD6">
        <w:rPr>
          <w:rFonts w:ascii="標楷體" w:eastAsia="標楷體" w:hAnsi="標楷體" w:cs="Helvetica"/>
          <w:b/>
          <w:color w:val="1F4E79" w:themeColor="accent5" w:themeShade="80"/>
          <w:kern w:val="0"/>
          <w:sz w:val="28"/>
          <w:szCs w:val="28"/>
        </w:rPr>
        <w:t>膽固醇</w:t>
      </w:r>
      <w:r w:rsidRPr="00226FD6"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  <w:t>、</w:t>
      </w:r>
      <w:r w:rsidRPr="00226FD6">
        <w:rPr>
          <w:rFonts w:ascii="標楷體" w:eastAsia="標楷體" w:hAnsi="標楷體" w:cs="Helvetica"/>
          <w:b/>
          <w:color w:val="1F4E79" w:themeColor="accent5" w:themeShade="80"/>
          <w:kern w:val="0"/>
          <w:sz w:val="28"/>
          <w:szCs w:val="28"/>
        </w:rPr>
        <w:t>氯化鉀</w:t>
      </w:r>
      <w:r w:rsidRPr="00226FD6"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  <w:t>、</w:t>
      </w:r>
      <w:r w:rsidRPr="00226FD6">
        <w:rPr>
          <w:rFonts w:ascii="標楷體" w:eastAsia="標楷體" w:hAnsi="標楷體" w:cs="Helvetica"/>
          <w:b/>
          <w:color w:val="1F4E79" w:themeColor="accent5" w:themeShade="80"/>
          <w:kern w:val="0"/>
          <w:sz w:val="28"/>
          <w:szCs w:val="28"/>
        </w:rPr>
        <w:t>磷酸二氫鉀</w:t>
      </w:r>
      <w:r w:rsidRPr="00226FD6"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  <w:t>、</w:t>
      </w:r>
      <w:r w:rsidRPr="00226FD6">
        <w:rPr>
          <w:rFonts w:ascii="標楷體" w:eastAsia="標楷體" w:hAnsi="標楷體" w:cs="Helvetica"/>
          <w:b/>
          <w:color w:val="1F4E79" w:themeColor="accent5" w:themeShade="80"/>
          <w:kern w:val="0"/>
          <w:sz w:val="28"/>
          <w:szCs w:val="28"/>
        </w:rPr>
        <w:t>氯化鈉</w:t>
      </w:r>
      <w:r w:rsidRPr="00226FD6"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  <w:t>、</w:t>
      </w:r>
      <w:r w:rsidRPr="00226FD6">
        <w:rPr>
          <w:rFonts w:ascii="標楷體" w:eastAsia="標楷體" w:hAnsi="標楷體" w:cs="Helvetica"/>
          <w:b/>
          <w:color w:val="1F4E79" w:themeColor="accent5" w:themeShade="80"/>
          <w:kern w:val="0"/>
          <w:sz w:val="28"/>
          <w:szCs w:val="28"/>
        </w:rPr>
        <w:t>磷酸氫二鈉二水合物、蔗糖、注射用水</w:t>
      </w:r>
      <w:r w:rsidRPr="00226FD6"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  <w:t xml:space="preserve">。 </w:t>
      </w:r>
    </w:p>
    <w:p w14:paraId="79D6A0AE" w14:textId="77777777" w:rsidR="0037415E" w:rsidRPr="0054296C" w:rsidRDefault="0037415E">
      <w:pPr>
        <w:rPr>
          <w:rFonts w:ascii="標楷體" w:eastAsia="標楷體" w:hAnsi="標楷體"/>
          <w:sz w:val="26"/>
          <w:szCs w:val="26"/>
        </w:rPr>
      </w:pPr>
    </w:p>
    <w:sectPr w:rsidR="0037415E" w:rsidRPr="0054296C" w:rsidSect="00422307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07F3B" w14:textId="77777777" w:rsidR="00652BB7" w:rsidRDefault="00652BB7" w:rsidP="0054296C">
      <w:r>
        <w:separator/>
      </w:r>
    </w:p>
  </w:endnote>
  <w:endnote w:type="continuationSeparator" w:id="0">
    <w:p w14:paraId="36532146" w14:textId="77777777" w:rsidR="00652BB7" w:rsidRDefault="00652BB7" w:rsidP="0054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739895"/>
      <w:docPartObj>
        <w:docPartGallery w:val="Page Numbers (Bottom of Page)"/>
        <w:docPartUnique/>
      </w:docPartObj>
    </w:sdtPr>
    <w:sdtContent>
      <w:p w14:paraId="73FA9CFA" w14:textId="7BD7A719" w:rsidR="0054296C" w:rsidRDefault="005429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53E" w:rsidRPr="0011353E">
          <w:rPr>
            <w:noProof/>
            <w:lang w:val="zh-TW"/>
          </w:rPr>
          <w:t>1</w:t>
        </w:r>
        <w:r>
          <w:fldChar w:fldCharType="end"/>
        </w:r>
      </w:p>
    </w:sdtContent>
  </w:sdt>
  <w:p w14:paraId="41597B09" w14:textId="77777777" w:rsidR="0054296C" w:rsidRDefault="005429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313DF" w14:textId="77777777" w:rsidR="00652BB7" w:rsidRDefault="00652BB7" w:rsidP="0054296C">
      <w:r>
        <w:separator/>
      </w:r>
    </w:p>
  </w:footnote>
  <w:footnote w:type="continuationSeparator" w:id="0">
    <w:p w14:paraId="78A7E0C7" w14:textId="77777777" w:rsidR="00652BB7" w:rsidRDefault="00652BB7" w:rsidP="0054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8" type="#_x0000_t75" style="width:3in;height:3in" o:bullet="t"/>
    </w:pict>
  </w:numPicBullet>
  <w:numPicBullet w:numPicBulletId="1">
    <w:pict>
      <v:shape id="_x0000_i1549" type="#_x0000_t75" style="width:3in;height:3in" o:bullet="t"/>
    </w:pict>
  </w:numPicBullet>
  <w:numPicBullet w:numPicBulletId="2">
    <w:pict>
      <v:shape id="_x0000_i1550" type="#_x0000_t75" style="width:3in;height:3in" o:bullet="t"/>
    </w:pict>
  </w:numPicBullet>
  <w:abstractNum w:abstractNumId="0" w15:restartNumberingAfterBreak="0">
    <w:nsid w:val="072B1D00"/>
    <w:multiLevelType w:val="multilevel"/>
    <w:tmpl w:val="A41E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02033"/>
    <w:multiLevelType w:val="multilevel"/>
    <w:tmpl w:val="077A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E1479"/>
    <w:multiLevelType w:val="multilevel"/>
    <w:tmpl w:val="3064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B4812"/>
    <w:multiLevelType w:val="multilevel"/>
    <w:tmpl w:val="553C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D2D06"/>
    <w:multiLevelType w:val="multilevel"/>
    <w:tmpl w:val="FAE6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C33B9"/>
    <w:multiLevelType w:val="multilevel"/>
    <w:tmpl w:val="07D2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97FDA"/>
    <w:multiLevelType w:val="multilevel"/>
    <w:tmpl w:val="5044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C70BD"/>
    <w:multiLevelType w:val="multilevel"/>
    <w:tmpl w:val="B4E8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46781B"/>
    <w:multiLevelType w:val="multilevel"/>
    <w:tmpl w:val="E166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EB"/>
    <w:rsid w:val="0011353E"/>
    <w:rsid w:val="00226FD6"/>
    <w:rsid w:val="0037415E"/>
    <w:rsid w:val="00422307"/>
    <w:rsid w:val="0054296C"/>
    <w:rsid w:val="0055452C"/>
    <w:rsid w:val="005A70EB"/>
    <w:rsid w:val="00652BB7"/>
    <w:rsid w:val="006E0D5D"/>
    <w:rsid w:val="00955469"/>
    <w:rsid w:val="009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65AD"/>
  <w15:chartTrackingRefBased/>
  <w15:docId w15:val="{059FBF45-1CFE-4630-A9C8-2285A65D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0EB"/>
    <w:rPr>
      <w:b/>
      <w:bCs/>
    </w:rPr>
  </w:style>
  <w:style w:type="paragraph" w:styleId="a4">
    <w:name w:val="header"/>
    <w:basedOn w:val="a"/>
    <w:link w:val="a5"/>
    <w:uiPriority w:val="99"/>
    <w:unhideWhenUsed/>
    <w:rsid w:val="00542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29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2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29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14821">
      <w:bodyDiv w:val="1"/>
      <w:marLeft w:val="0"/>
      <w:marRight w:val="0"/>
      <w:marTop w:val="0"/>
      <w:marBottom w:val="33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85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46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33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43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52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2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0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87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2021-09-08T07:45:00Z</dcterms:created>
  <dcterms:modified xsi:type="dcterms:W3CDTF">2021-09-08T09:16:00Z</dcterms:modified>
</cp:coreProperties>
</file>