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E0" w:rsidRDefault="00BF59AB">
      <w:pPr>
        <w:pStyle w:val="Standard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-53280</wp:posOffset>
                </wp:positionV>
                <wp:extent cx="923400" cy="403200"/>
                <wp:effectExtent l="0" t="0" r="10050" b="1590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400" cy="4032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6CE0" w:rsidRDefault="00BF59AB">
                            <w:pPr>
                              <w:pStyle w:val="Framecontents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6pt;margin-top:-4.2pt;width:72.7pt;height:31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" filled="f" strokeweight=".74pt">
                <v:textbox>
                  <w:txbxContent>
                    <w:p w:rsidR="00716CE0" w:rsidRDefault="00BF59AB">
                      <w:pPr>
                        <w:pStyle w:val="Framecontents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28"/>
        </w:rPr>
        <w:t>中小學教師專業發展評鑑辦理情形之分析</w:t>
      </w: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BF59AB">
      <w:pPr>
        <w:pStyle w:val="a3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一、前言</w:t>
      </w:r>
    </w:p>
    <w:p w:rsidR="00716CE0" w:rsidRDefault="00BF59AB">
      <w:pPr>
        <w:pStyle w:val="Standard"/>
        <w:ind w:left="283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基於社會大眾對中小學教學品質的期待，本部自95年開始辦理中小學教師專業發展評鑑(以下</w:t>
      </w:r>
      <w:proofErr w:type="gramStart"/>
      <w:r>
        <w:rPr>
          <w:rFonts w:ascii="標楷體" w:eastAsia="標楷體" w:hAnsi="標楷體"/>
          <w:sz w:val="28"/>
          <w:szCs w:val="28"/>
        </w:rPr>
        <w:t>簡稱教專評鑑</w:t>
      </w:r>
      <w:proofErr w:type="gramEnd"/>
      <w:r>
        <w:rPr>
          <w:rFonts w:ascii="標楷體" w:eastAsia="標楷體" w:hAnsi="標楷體"/>
          <w:sz w:val="28"/>
          <w:szCs w:val="28"/>
        </w:rPr>
        <w:t>)，以教師自願、學校申辦方式</w:t>
      </w:r>
      <w:proofErr w:type="gramStart"/>
      <w:r>
        <w:rPr>
          <w:rFonts w:ascii="標楷體" w:eastAsia="標楷體" w:hAnsi="標楷體"/>
          <w:sz w:val="28"/>
          <w:szCs w:val="28"/>
        </w:rPr>
        <w:t>辦理教專評鑑</w:t>
      </w:r>
      <w:proofErr w:type="gramEnd"/>
      <w:r>
        <w:rPr>
          <w:rFonts w:ascii="標楷體" w:eastAsia="標楷體" w:hAnsi="標楷體"/>
          <w:sz w:val="28"/>
          <w:szCs w:val="28"/>
        </w:rPr>
        <w:t>，以協助教師專業成長，提升教學品質，以增進學生學習成果，同時並明訂評鑑目的以促進教師專業發展，提升教學品質與學生學習成效為目的，其評鑑結果與教師成績考核，不適任教師處理機制脫</w:t>
      </w:r>
      <w:proofErr w:type="gramStart"/>
      <w:r>
        <w:rPr>
          <w:rFonts w:ascii="標楷體" w:eastAsia="標楷體" w:hAnsi="標楷體"/>
          <w:sz w:val="28"/>
          <w:szCs w:val="28"/>
        </w:rPr>
        <w:t>鉤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716CE0">
      <w:pPr>
        <w:pStyle w:val="Standard"/>
        <w:rPr>
          <w:rFonts w:ascii="標楷體" w:eastAsia="標楷體" w:hAnsi="標楷體"/>
          <w:sz w:val="28"/>
          <w:szCs w:val="28"/>
        </w:rPr>
      </w:pPr>
    </w:p>
    <w:p w:rsidR="00716CE0" w:rsidRDefault="00BF59AB">
      <w:pPr>
        <w:pStyle w:val="Standard"/>
      </w:pPr>
      <w:r>
        <w:rPr>
          <w:rFonts w:ascii="標楷體" w:eastAsia="標楷體" w:hAnsi="標楷體"/>
          <w:b/>
          <w:sz w:val="28"/>
        </w:rPr>
        <w:t>二、辦理情形、優缺點</w:t>
      </w:r>
      <w:r>
        <w:rPr>
          <w:rFonts w:ascii="標楷體" w:eastAsia="標楷體" w:hAnsi="標楷體"/>
          <w:b/>
          <w:sz w:val="28"/>
          <w:szCs w:val="28"/>
        </w:rPr>
        <w:t>分析與改革</w:t>
      </w:r>
    </w:p>
    <w:p w:rsidR="00716CE0" w:rsidRDefault="00BF59AB">
      <w:pPr>
        <w:pStyle w:val="Standard"/>
        <w:ind w:left="340" w:firstLine="567"/>
      </w:pPr>
      <w:proofErr w:type="gramStart"/>
      <w:r>
        <w:rPr>
          <w:rFonts w:ascii="標楷體" w:eastAsia="標楷體" w:hAnsi="標楷體"/>
          <w:sz w:val="28"/>
          <w:szCs w:val="28"/>
        </w:rPr>
        <w:t>教專評鑑</w:t>
      </w:r>
      <w:proofErr w:type="gramEnd"/>
      <w:r>
        <w:rPr>
          <w:rFonts w:ascii="標楷體" w:eastAsia="標楷體" w:hAnsi="標楷體"/>
          <w:sz w:val="28"/>
          <w:szCs w:val="28"/>
        </w:rPr>
        <w:t>推動至今</w:t>
      </w:r>
      <w:r>
        <w:rPr>
          <w:rFonts w:ascii="標楷體" w:eastAsia="標楷體" w:hAnsi="標楷體"/>
          <w:bCs/>
          <w:sz w:val="28"/>
          <w:szCs w:val="28"/>
        </w:rPr>
        <w:t>，105學年度已有21個縣市、2,483校(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佔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全國校數比例為63.41%)、7萬5,676名教師(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佔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全國教師人數比例為37.24%)參與，校數及教師數均逐年增加，透過教學觀察三部曲(觀察前會談、教學觀察、觀察後回饋會談)得以打開教室，突破孤立無援的教學文化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)優點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1.以多元策略，</w:t>
      </w:r>
      <w:r>
        <w:rPr>
          <w:rFonts w:ascii="標楷體" w:eastAsia="標楷體" w:hAnsi="標楷體"/>
          <w:b/>
          <w:sz w:val="28"/>
          <w:szCs w:val="28"/>
        </w:rPr>
        <w:t>讓教學觀察三部曲得以打開教室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bCs/>
          <w:sz w:val="28"/>
          <w:szCs w:val="28"/>
        </w:rPr>
        <w:t>突破孤立無援的教學文化</w:t>
      </w:r>
      <w:r>
        <w:rPr>
          <w:rFonts w:ascii="標楷體" w:eastAsia="標楷體" w:hAnsi="標楷體"/>
          <w:sz w:val="28"/>
          <w:szCs w:val="28"/>
        </w:rPr>
        <w:t>，並帶動其它教育計畫(如精進計畫的</w:t>
      </w:r>
      <w:proofErr w:type="gramStart"/>
      <w:r>
        <w:rPr>
          <w:rFonts w:ascii="標楷體" w:eastAsia="標楷體" w:hAnsi="標楷體"/>
          <w:sz w:val="28"/>
          <w:szCs w:val="28"/>
        </w:rPr>
        <w:t>共備、觀課、議課</w:t>
      </w:r>
      <w:proofErr w:type="gramEnd"/>
      <w:r>
        <w:rPr>
          <w:rFonts w:ascii="標楷體" w:eastAsia="標楷體" w:hAnsi="標楷體"/>
          <w:sz w:val="28"/>
          <w:szCs w:val="28"/>
        </w:rPr>
        <w:t>)得以順利入</w:t>
      </w:r>
      <w:proofErr w:type="gramStart"/>
      <w:r>
        <w:rPr>
          <w:rFonts w:ascii="標楷體" w:eastAsia="標楷體" w:hAnsi="標楷體"/>
          <w:sz w:val="28"/>
          <w:szCs w:val="28"/>
        </w:rPr>
        <w:t>班觀課</w:t>
      </w:r>
      <w:proofErr w:type="gramEnd"/>
      <w:r>
        <w:rPr>
          <w:rFonts w:ascii="標楷體" w:eastAsia="標楷體" w:hAnsi="標楷體"/>
          <w:sz w:val="28"/>
          <w:szCs w:val="28"/>
        </w:rPr>
        <w:t>，主要的策略(圖一)，包括：</w:t>
      </w:r>
    </w:p>
    <w:p w:rsidR="00716CE0" w:rsidRDefault="00BF59AB">
      <w:pPr>
        <w:pStyle w:val="Standard"/>
        <w:ind w:left="1134" w:hanging="397"/>
      </w:pPr>
      <w:r>
        <w:rPr>
          <w:rFonts w:ascii="標楷體" w:eastAsia="標楷體" w:hAnsi="標楷體"/>
          <w:sz w:val="28"/>
          <w:szCs w:val="28"/>
        </w:rPr>
        <w:t>(1)長期引進國外熟稔教學觀察專業知能之人力資源，</w:t>
      </w:r>
      <w:r>
        <w:rPr>
          <w:rFonts w:ascii="標楷體" w:eastAsia="標楷體" w:hAnsi="標楷體"/>
          <w:b/>
          <w:sz w:val="28"/>
          <w:szCs w:val="28"/>
        </w:rPr>
        <w:t>辦理教學觀察實作工作坊。</w:t>
      </w:r>
    </w:p>
    <w:p w:rsidR="00716CE0" w:rsidRDefault="00BF59AB">
      <w:pPr>
        <w:pStyle w:val="Standard"/>
        <w:ind w:left="1134" w:hanging="397"/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/>
          <w:b/>
          <w:sz w:val="28"/>
          <w:szCs w:val="28"/>
        </w:rPr>
        <w:t>掌握教學觀察重點聚焦於教師與學生的互動歷程</w:t>
      </w:r>
      <w:r>
        <w:rPr>
          <w:rFonts w:ascii="標楷體" w:eastAsia="標楷體" w:hAnsi="標楷體"/>
          <w:sz w:val="28"/>
          <w:szCs w:val="28"/>
        </w:rPr>
        <w:t>，突破傳統教師講、學生聽的講授教學，帶動分組合作學習亦以教學觀察為主要策略，並</w:t>
      </w:r>
      <w:r>
        <w:rPr>
          <w:rFonts w:ascii="標楷體" w:eastAsia="標楷體" w:hAnsi="標楷體"/>
          <w:b/>
          <w:sz w:val="28"/>
          <w:szCs w:val="28"/>
        </w:rPr>
        <w:t>建立以學生學習需求為核心的教學理念</w:t>
      </w:r>
      <w:r>
        <w:rPr>
          <w:rFonts w:ascii="標楷體" w:eastAsia="標楷體" w:hAnsi="標楷體"/>
          <w:sz w:val="28"/>
          <w:szCs w:val="28"/>
        </w:rPr>
        <w:t>，突破傳統只重視總結性的學生分數，忽略學生歷程性的學習表現。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2.系統性規劃各類人才培訓的課程設計，建立各類人才培訓與認證制度，</w:t>
      </w:r>
      <w:r>
        <w:rPr>
          <w:rFonts w:ascii="標楷體" w:eastAsia="標楷體" w:hAnsi="標楷體"/>
          <w:b/>
          <w:sz w:val="28"/>
          <w:szCs w:val="28"/>
        </w:rPr>
        <w:t>為教師專業職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涯</w:t>
      </w:r>
      <w:proofErr w:type="gramEnd"/>
      <w:r>
        <w:rPr>
          <w:rFonts w:ascii="標楷體" w:eastAsia="標楷體" w:hAnsi="標楷體"/>
          <w:b/>
          <w:sz w:val="28"/>
          <w:szCs w:val="28"/>
        </w:rPr>
        <w:t>規劃開創可行性的途徑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3.積極協助學校建立行政與教師的信任文化，喚起</w:t>
      </w:r>
      <w:r>
        <w:rPr>
          <w:rFonts w:ascii="標楷體" w:eastAsia="標楷體" w:hAnsi="標楷體"/>
          <w:b/>
          <w:sz w:val="28"/>
          <w:szCs w:val="28"/>
        </w:rPr>
        <w:t>教育行政人員及學校校長對教室與教學的關注</w:t>
      </w:r>
      <w:r>
        <w:rPr>
          <w:rFonts w:ascii="標楷體" w:eastAsia="標楷體" w:hAnsi="標楷體"/>
          <w:sz w:val="28"/>
          <w:szCs w:val="28"/>
        </w:rPr>
        <w:t>，進而系統性規劃校長教學領導的培訓與認證。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4.具體規範學校專業學習社群的運作步驟，</w:t>
      </w:r>
      <w:r>
        <w:rPr>
          <w:rFonts w:ascii="標楷體" w:eastAsia="標楷體" w:hAnsi="標楷體"/>
          <w:b/>
          <w:sz w:val="28"/>
          <w:szCs w:val="28"/>
        </w:rPr>
        <w:t>有效引導專業學習社群的對話內容，聚焦於教學觀察與教學檔案資料，</w:t>
      </w:r>
      <w:r>
        <w:rPr>
          <w:rFonts w:ascii="標楷體" w:eastAsia="標楷體" w:hAnsi="標楷體"/>
          <w:sz w:val="28"/>
          <w:szCs w:val="28"/>
        </w:rPr>
        <w:t>討論教室內的教學與學生的上</w:t>
      </w:r>
      <w:r>
        <w:rPr>
          <w:rFonts w:ascii="標楷體" w:eastAsia="標楷體" w:hAnsi="標楷體"/>
          <w:sz w:val="28"/>
          <w:szCs w:val="28"/>
        </w:rPr>
        <w:lastRenderedPageBreak/>
        <w:t>課表現，跳脫長期以來教師專業對話</w:t>
      </w:r>
      <w:proofErr w:type="gramStart"/>
      <w:r>
        <w:rPr>
          <w:rFonts w:ascii="標楷體" w:eastAsia="標楷體" w:hAnsi="標楷體"/>
          <w:sz w:val="28"/>
          <w:szCs w:val="28"/>
        </w:rPr>
        <w:t>流於聊是非</w:t>
      </w:r>
      <w:proofErr w:type="gramEnd"/>
      <w:r>
        <w:rPr>
          <w:rFonts w:ascii="標楷體" w:eastAsia="標楷體" w:hAnsi="標楷體"/>
          <w:sz w:val="28"/>
          <w:szCs w:val="28"/>
        </w:rPr>
        <w:t>、改作業之現象 (圖二)。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5.長期學校本位</w:t>
      </w:r>
      <w:r>
        <w:rPr>
          <w:rFonts w:ascii="標楷體" w:eastAsia="標楷體" w:hAnsi="標楷體"/>
          <w:b/>
          <w:sz w:val="28"/>
          <w:szCs w:val="28"/>
        </w:rPr>
        <w:t>評鑑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規準</w:t>
      </w:r>
      <w:proofErr w:type="gramEnd"/>
      <w:r>
        <w:rPr>
          <w:rFonts w:ascii="標楷體" w:eastAsia="標楷體" w:hAnsi="標楷體"/>
          <w:sz w:val="28"/>
          <w:szCs w:val="28"/>
        </w:rPr>
        <w:t>的實證基礎，確立教師專業表現內涵架構首要二項重點是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課程課計與</w:t>
      </w:r>
      <w:proofErr w:type="gramEnd"/>
      <w:r>
        <w:rPr>
          <w:rFonts w:ascii="標楷體" w:eastAsia="標楷體" w:hAnsi="標楷體"/>
          <w:b/>
          <w:sz w:val="28"/>
          <w:szCs w:val="28"/>
        </w:rPr>
        <w:t>教學、班級經營與輔導</w:t>
      </w:r>
      <w:r>
        <w:rPr>
          <w:rFonts w:ascii="標楷體" w:eastAsia="標楷體" w:hAnsi="標楷體"/>
          <w:sz w:val="28"/>
          <w:szCs w:val="28"/>
        </w:rPr>
        <w:t>，並與國教署所屬輔導團針對課程與教學，進行教學演示之輔導活動，具有互補功能。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6.經由評鑑實施與評鑑</w:t>
      </w:r>
      <w:proofErr w:type="gramStart"/>
      <w:r>
        <w:rPr>
          <w:rFonts w:ascii="標楷體" w:eastAsia="標楷體" w:hAnsi="標楷體"/>
          <w:sz w:val="28"/>
          <w:szCs w:val="28"/>
        </w:rPr>
        <w:t>規準</w:t>
      </w:r>
      <w:proofErr w:type="gramEnd"/>
      <w:r>
        <w:rPr>
          <w:rFonts w:ascii="標楷體" w:eastAsia="標楷體" w:hAnsi="標楷體"/>
          <w:sz w:val="28"/>
          <w:szCs w:val="28"/>
        </w:rPr>
        <w:t>的長期發展，引導教師關注教育本質回歸「教師教學」、「學生學習」及「有效教學」基本理念。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7.</w:t>
      </w:r>
      <w:r>
        <w:rPr>
          <w:rFonts w:ascii="標楷體" w:eastAsia="標楷體" w:hAnsi="標楷體"/>
          <w:b/>
          <w:sz w:val="28"/>
          <w:szCs w:val="28"/>
        </w:rPr>
        <w:t>以教學現場之教師為計畫主體</w:t>
      </w:r>
      <w:r>
        <w:rPr>
          <w:rFonts w:ascii="標楷體" w:eastAsia="標楷體" w:hAnsi="標楷體"/>
          <w:sz w:val="28"/>
          <w:szCs w:val="28"/>
        </w:rPr>
        <w:t>，喚起關心教學之教師願意長期投注奉獻</w:t>
      </w:r>
      <w:proofErr w:type="gramStart"/>
      <w:r>
        <w:rPr>
          <w:rFonts w:ascii="標楷體" w:eastAsia="標楷體" w:hAnsi="標楷體"/>
          <w:sz w:val="28"/>
          <w:szCs w:val="28"/>
        </w:rPr>
        <w:t>於教專評鑑</w:t>
      </w:r>
      <w:proofErr w:type="gramEnd"/>
      <w:r>
        <w:rPr>
          <w:rFonts w:ascii="標楷體" w:eastAsia="標楷體" w:hAnsi="標楷體"/>
          <w:sz w:val="28"/>
          <w:szCs w:val="28"/>
        </w:rPr>
        <w:t>，例如目前培訓的輔導夥伴、本部與地方政府組織的輔導群即是。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8.成立</w:t>
      </w:r>
      <w:r>
        <w:rPr>
          <w:rFonts w:ascii="標楷體" w:eastAsia="標楷體" w:hAnsi="標楷體"/>
          <w:b/>
          <w:sz w:val="28"/>
          <w:szCs w:val="28"/>
        </w:rPr>
        <w:t>「校長及教師專業發展中心」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簡稱教專中心</w:t>
      </w:r>
      <w:proofErr w:type="gramEnd"/>
      <w:r>
        <w:rPr>
          <w:rFonts w:ascii="標楷體" w:eastAsia="標楷體" w:hAnsi="標楷體"/>
          <w:sz w:val="28"/>
          <w:szCs w:val="28"/>
        </w:rPr>
        <w:t>)，幫助縣市政府將校長與教師的專業發展任務安排</w:t>
      </w:r>
      <w:proofErr w:type="gramStart"/>
      <w:r>
        <w:rPr>
          <w:rFonts w:ascii="標楷體" w:eastAsia="標楷體" w:hAnsi="標楷體"/>
          <w:sz w:val="28"/>
          <w:szCs w:val="28"/>
        </w:rPr>
        <w:t>於教專中心</w:t>
      </w:r>
      <w:proofErr w:type="gramEnd"/>
      <w:r>
        <w:rPr>
          <w:rFonts w:ascii="標楷體" w:eastAsia="標楷體" w:hAnsi="標楷體"/>
          <w:sz w:val="28"/>
          <w:szCs w:val="28"/>
        </w:rPr>
        <w:t>，並藉由專款專人專用方式加以落實(圖三、圖四)。</w:t>
      </w:r>
    </w:p>
    <w:p w:rsidR="00716CE0" w:rsidRDefault="00BF59AB">
      <w:pPr>
        <w:pStyle w:val="Standard"/>
        <w:ind w:left="907" w:hanging="283"/>
      </w:pPr>
      <w:r>
        <w:rPr>
          <w:rFonts w:ascii="標楷體" w:eastAsia="標楷體" w:hAnsi="標楷體"/>
          <w:sz w:val="28"/>
          <w:szCs w:val="28"/>
        </w:rPr>
        <w:t>9.具體描繪教師的教學專業所含</w:t>
      </w:r>
      <w:proofErr w:type="gramStart"/>
      <w:r>
        <w:rPr>
          <w:rFonts w:ascii="標楷體" w:eastAsia="標楷體" w:hAnsi="標楷體"/>
          <w:sz w:val="28"/>
          <w:szCs w:val="28"/>
        </w:rPr>
        <w:t>括</w:t>
      </w:r>
      <w:proofErr w:type="gramEnd"/>
      <w:r>
        <w:rPr>
          <w:rFonts w:ascii="標楷體" w:eastAsia="標楷體" w:hAnsi="標楷體"/>
          <w:b/>
          <w:sz w:val="28"/>
          <w:szCs w:val="28"/>
        </w:rPr>
        <w:t>學科專業與教學專業</w:t>
      </w:r>
      <w:r>
        <w:rPr>
          <w:rFonts w:ascii="標楷體" w:eastAsia="標楷體" w:hAnsi="標楷體"/>
          <w:sz w:val="28"/>
          <w:szCs w:val="28"/>
        </w:rPr>
        <w:t>的具體作為，除建立教學專業溝通對話的共通語言外，並協助教師</w:t>
      </w:r>
      <w:r>
        <w:rPr>
          <w:rFonts w:ascii="標楷體" w:eastAsia="標楷體" w:hAnsi="標楷體"/>
          <w:b/>
          <w:sz w:val="28"/>
          <w:szCs w:val="28"/>
        </w:rPr>
        <w:t>先就一般性的教學共通性內容進行省思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(二)缺點</w:t>
      </w:r>
    </w:p>
    <w:p w:rsidR="00716CE0" w:rsidRDefault="00BF59AB">
      <w:pPr>
        <w:pStyle w:val="Standard"/>
        <w:ind w:left="340" w:firstLine="227"/>
      </w:pPr>
      <w:r>
        <w:rPr>
          <w:rFonts w:ascii="標楷體" w:eastAsia="標楷體" w:hAnsi="標楷體"/>
          <w:sz w:val="28"/>
          <w:szCs w:val="28"/>
        </w:rPr>
        <w:t>1.為確認參與教師之自願性，</w:t>
      </w:r>
      <w:proofErr w:type="gramStart"/>
      <w:r>
        <w:rPr>
          <w:rFonts w:ascii="標楷體" w:eastAsia="標楷體" w:hAnsi="標楷體"/>
          <w:sz w:val="28"/>
          <w:szCs w:val="28"/>
        </w:rPr>
        <w:t>致</w:t>
      </w:r>
      <w:r>
        <w:rPr>
          <w:rFonts w:ascii="標楷體" w:eastAsia="標楷體" w:hAnsi="標楷體"/>
          <w:b/>
          <w:sz w:val="28"/>
          <w:szCs w:val="28"/>
        </w:rPr>
        <w:t>教專</w:t>
      </w:r>
      <w:proofErr w:type="gramEnd"/>
      <w:r>
        <w:rPr>
          <w:rFonts w:ascii="標楷體" w:eastAsia="標楷體" w:hAnsi="標楷體"/>
          <w:b/>
          <w:sz w:val="28"/>
          <w:szCs w:val="28"/>
        </w:rPr>
        <w:t>評鑑申辦作業繁瑣、申辦表件複雜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ind w:left="850" w:hanging="283"/>
      </w:pPr>
      <w:r>
        <w:rPr>
          <w:rFonts w:ascii="標楷體" w:eastAsia="標楷體" w:hAnsi="標楷體"/>
          <w:sz w:val="28"/>
          <w:szCs w:val="28"/>
        </w:rPr>
        <w:t>2.學術單位為專業、完整建立各類人才培訓與認證制度，又因現場教師對各表件專業內涵缺乏共識，致使被認為</w:t>
      </w:r>
      <w:r>
        <w:rPr>
          <w:rFonts w:ascii="標楷體" w:eastAsia="標楷體" w:hAnsi="標楷體"/>
          <w:b/>
          <w:sz w:val="28"/>
          <w:szCs w:val="28"/>
        </w:rPr>
        <w:t>認證表件複雜</w:t>
      </w:r>
      <w:r>
        <w:rPr>
          <w:rFonts w:ascii="標楷體" w:eastAsia="標楷體" w:hAnsi="標楷體"/>
          <w:sz w:val="28"/>
          <w:szCs w:val="28"/>
        </w:rPr>
        <w:t>，且因各區域中心學術團隊</w:t>
      </w:r>
      <w:r>
        <w:rPr>
          <w:rFonts w:ascii="標楷體" w:eastAsia="標楷體" w:hAnsi="標楷體"/>
          <w:b/>
          <w:sz w:val="28"/>
          <w:szCs w:val="28"/>
        </w:rPr>
        <w:t>認證審查標準不一</w:t>
      </w:r>
      <w:r>
        <w:rPr>
          <w:rFonts w:ascii="標楷體" w:eastAsia="標楷體" w:hAnsi="標楷體"/>
          <w:sz w:val="28"/>
          <w:szCs w:val="28"/>
        </w:rPr>
        <w:t>，致使各類人才之認證專業有遭受質疑之情事。</w:t>
      </w:r>
    </w:p>
    <w:p w:rsidR="00716CE0" w:rsidRDefault="00BF59AB">
      <w:pPr>
        <w:pStyle w:val="Standard"/>
        <w:ind w:left="850" w:hanging="283"/>
      </w:pPr>
      <w:r>
        <w:rPr>
          <w:rFonts w:ascii="標楷體" w:eastAsia="標楷體" w:hAnsi="標楷體"/>
          <w:sz w:val="28"/>
          <w:szCs w:val="28"/>
        </w:rPr>
        <w:t>3.人才培訓與認證制度的實施，由於缺乏取證後服務表現的規範，致使流於</w:t>
      </w:r>
      <w:r>
        <w:rPr>
          <w:rFonts w:ascii="標楷體" w:eastAsia="標楷體" w:hAnsi="標楷體"/>
          <w:b/>
          <w:sz w:val="28"/>
          <w:szCs w:val="28"/>
        </w:rPr>
        <w:t>個人主義的認證</w:t>
      </w:r>
      <w:r>
        <w:rPr>
          <w:rFonts w:ascii="標楷體" w:eastAsia="標楷體" w:hAnsi="標楷體"/>
          <w:sz w:val="28"/>
          <w:szCs w:val="28"/>
        </w:rPr>
        <w:t>，漠視認證是專業建立的策略與歷程，致使</w:t>
      </w:r>
      <w:r>
        <w:rPr>
          <w:rFonts w:ascii="標楷體" w:eastAsia="標楷體" w:hAnsi="標楷體"/>
          <w:b/>
          <w:sz w:val="28"/>
          <w:szCs w:val="28"/>
        </w:rPr>
        <w:t>同儕團體省思文化尚待建立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ind w:left="850" w:hanging="283"/>
      </w:pPr>
      <w:r>
        <w:rPr>
          <w:rFonts w:ascii="標楷體" w:eastAsia="標楷體" w:hAnsi="標楷體"/>
          <w:sz w:val="28"/>
          <w:szCs w:val="28"/>
        </w:rPr>
        <w:t>4.學校本位評鑑</w:t>
      </w:r>
      <w:proofErr w:type="gramStart"/>
      <w:r>
        <w:rPr>
          <w:rFonts w:ascii="標楷體" w:eastAsia="標楷體" w:hAnsi="標楷體"/>
          <w:sz w:val="28"/>
          <w:szCs w:val="28"/>
        </w:rPr>
        <w:t>規準</w:t>
      </w:r>
      <w:proofErr w:type="gramEnd"/>
      <w:r>
        <w:rPr>
          <w:rFonts w:ascii="標楷體" w:eastAsia="標楷體" w:hAnsi="標楷體"/>
          <w:sz w:val="28"/>
          <w:szCs w:val="28"/>
        </w:rPr>
        <w:t>的</w:t>
      </w:r>
      <w:proofErr w:type="gramStart"/>
      <w:r>
        <w:rPr>
          <w:rFonts w:ascii="標楷體" w:eastAsia="標楷體" w:hAnsi="標楷體"/>
          <w:sz w:val="28"/>
          <w:szCs w:val="28"/>
        </w:rPr>
        <w:t>研</w:t>
      </w:r>
      <w:proofErr w:type="gramEnd"/>
      <w:r>
        <w:rPr>
          <w:rFonts w:ascii="標楷體" w:eastAsia="標楷體" w:hAnsi="標楷體"/>
          <w:sz w:val="28"/>
          <w:szCs w:val="28"/>
        </w:rPr>
        <w:t>定，欠缺學校具有教學領導知能人員的帶領，未能建構評鑑</w:t>
      </w:r>
      <w:proofErr w:type="gramStart"/>
      <w:r>
        <w:rPr>
          <w:rFonts w:ascii="標楷體" w:eastAsia="標楷體" w:hAnsi="標楷體"/>
          <w:sz w:val="28"/>
          <w:szCs w:val="28"/>
        </w:rPr>
        <w:t>規準</w:t>
      </w:r>
      <w:proofErr w:type="gramEnd"/>
      <w:r>
        <w:rPr>
          <w:rFonts w:ascii="標楷體" w:eastAsia="標楷體" w:hAnsi="標楷體"/>
          <w:sz w:val="28"/>
          <w:szCs w:val="28"/>
        </w:rPr>
        <w:t>多元解讀的共識，致使</w:t>
      </w:r>
      <w:r>
        <w:rPr>
          <w:rFonts w:ascii="標楷體" w:eastAsia="標楷體" w:hAnsi="標楷體"/>
          <w:b/>
          <w:sz w:val="28"/>
          <w:szCs w:val="28"/>
        </w:rPr>
        <w:t>評鑑工具流於形式化</w:t>
      </w:r>
      <w:r>
        <w:rPr>
          <w:rFonts w:ascii="標楷體" w:eastAsia="標楷體" w:hAnsi="標楷體"/>
          <w:sz w:val="28"/>
          <w:szCs w:val="28"/>
        </w:rPr>
        <w:t>，而有</w:t>
      </w:r>
      <w:r>
        <w:rPr>
          <w:rFonts w:ascii="標楷體" w:eastAsia="標楷體" w:hAnsi="標楷體"/>
          <w:b/>
          <w:sz w:val="28"/>
          <w:szCs w:val="28"/>
        </w:rPr>
        <w:t>評鑑無效或不同學科(領域)教師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無法互評的</w:t>
      </w:r>
      <w:proofErr w:type="gramEnd"/>
      <w:r>
        <w:rPr>
          <w:rFonts w:ascii="標楷體" w:eastAsia="標楷體" w:hAnsi="標楷體"/>
          <w:b/>
          <w:sz w:val="28"/>
          <w:szCs w:val="28"/>
        </w:rPr>
        <w:t>迷失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ind w:left="850" w:hanging="283"/>
      </w:pPr>
      <w:r>
        <w:rPr>
          <w:rFonts w:ascii="標楷體" w:eastAsia="標楷體" w:hAnsi="標楷體"/>
          <w:sz w:val="28"/>
          <w:szCs w:val="28"/>
        </w:rPr>
        <w:t>5.由於</w:t>
      </w:r>
      <w:r>
        <w:rPr>
          <w:rFonts w:ascii="標楷體" w:eastAsia="標楷體" w:hAnsi="標楷體"/>
          <w:b/>
          <w:sz w:val="28"/>
          <w:szCs w:val="28"/>
        </w:rPr>
        <w:t>師培單位與學者專家中，具教學實務之教學觀察、班級經營之專長者較為欠缺</w:t>
      </w:r>
      <w:r>
        <w:rPr>
          <w:rFonts w:ascii="標楷體" w:eastAsia="標楷體" w:hAnsi="標楷體"/>
          <w:sz w:val="28"/>
          <w:szCs w:val="28"/>
        </w:rPr>
        <w:t>。</w:t>
      </w:r>
    </w:p>
    <w:p w:rsidR="00716CE0" w:rsidRDefault="00BF59AB">
      <w:pPr>
        <w:pStyle w:val="Standard"/>
        <w:ind w:left="850" w:hanging="283"/>
      </w:pPr>
      <w:r>
        <w:rPr>
          <w:rFonts w:ascii="標楷體" w:eastAsia="標楷體" w:hAnsi="標楷體"/>
          <w:sz w:val="28"/>
          <w:szCs w:val="28"/>
        </w:rPr>
        <w:lastRenderedPageBreak/>
        <w:t>6.對於逐年期學校每年實施正式評鑑，進行教學觀察，未予適當輔導進行專業成長活動，致部分逐年期學校未能深化教學觀察知能，而感到彈性疲乏之現象。</w:t>
      </w:r>
    </w:p>
    <w:p w:rsidR="00716CE0" w:rsidRDefault="00BF59AB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(三)103年以後漸進改革</w:t>
      </w:r>
    </w:p>
    <w:tbl>
      <w:tblPr>
        <w:tblW w:w="9756" w:type="dxa"/>
        <w:tblInd w:w="-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3060"/>
        <w:gridCol w:w="4260"/>
      </w:tblGrid>
      <w:tr w:rsidR="00716CE0">
        <w:trPr>
          <w:trHeight w:val="525"/>
          <w:tblHeader/>
        </w:trPr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102年以前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103年以後漸進改革重點</w:t>
            </w:r>
          </w:p>
        </w:tc>
      </w:tr>
      <w:tr w:rsidR="00716CE0">
        <w:trPr>
          <w:trHeight w:val="599"/>
        </w:trPr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行政基調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以中央教育部為中心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以地方政府教育局處為中心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行政原則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教師自願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1.鼓勵教師參加</w:t>
            </w:r>
          </w:p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2.規劃依循原則：專業、簡明、可行、e化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權責下放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/>
              <w:t>(中央支持)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教育部成立</w:t>
            </w:r>
          </w:p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7個區域中心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1.縣市成立21個(除連江)「校長及教師專業發展中心」。</w:t>
            </w:r>
          </w:p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(簡稱：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教專中心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，分設綜合規劃、諮詢輔導、培訓認可三組)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申辦審查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各自辦理工作會議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多方區域溝通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定期工作會議，加強改革之初的溝通協調、問題解決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行政鬆綁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鉅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細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遺審查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重點審查：校務會議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或課發會議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通過；經費合理性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規準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簡明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101年：4面向、18項指標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、69個檢核重點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105年： 3面向、10項指標、28個檢核重點(one page)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人才培訓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在地深根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評鑑人才培訓(初階除外)：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進階、教學輔導教師、輔導夥伴認定</w:t>
            </w:r>
            <w:r>
              <w:rPr>
                <w:rFonts w:ascii="標楷體" w:eastAsia="標楷體" w:hAnsi="標楷體" w:cs="Wingdings"/>
                <w:sz w:val="28"/>
                <w:szCs w:val="28"/>
              </w:rPr>
              <w:t></w:t>
            </w:r>
            <w:r>
              <w:rPr>
                <w:rFonts w:ascii="標楷體" w:eastAsia="標楷體" w:hAnsi="標楷體"/>
                <w:sz w:val="28"/>
                <w:szCs w:val="28"/>
              </w:rPr>
              <w:t>由區域中心辦理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中央制定課程</w:t>
            </w:r>
          </w:p>
          <w:p w:rsidR="00716CE0" w:rsidRDefault="00BF59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地方推薦講師中央培訓，人才在地培訓。</w:t>
            </w:r>
          </w:p>
          <w:p w:rsidR="00716CE0" w:rsidRDefault="00BF59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進階、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教輔，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地方審核推薦中央認證。</w:t>
            </w:r>
          </w:p>
          <w:p w:rsidR="00716CE0" w:rsidRDefault="00BF59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地方組織：輔導夥伴。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輔導組織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輔導委員、輔導夥伴，由中央成立之區域中心認可調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配。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spacing w:line="400" w:lineRule="exact"/>
              <w:ind w:left="720" w:hanging="6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輔導委員、輔導夥伴，</w:t>
            </w:r>
          </w:p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地方教專中心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自行調訓、組織與調配。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補助彈性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業務費、設備費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業務費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(增購買教學媒材、學習資料)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、設備費、人事費。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典範擴散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(專業激勵)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敘獎鼓勵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不定期甄選典範縣市、學校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增</w:t>
            </w:r>
            <w:r>
              <w:rPr>
                <w:rFonts w:ascii="標楷體" w:eastAsia="標楷體" w:hAnsi="標楷體" w:cs="Wingdings"/>
                <w:bCs/>
                <w:sz w:val="28"/>
                <w:szCs w:val="28"/>
              </w:rPr>
              <w:t>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定期甄選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/>
              <w:t>甄選優良示例傳承：典範縣市、典範學校、教學觀察、                  教學檔案、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教專社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群。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專業倡導</w:t>
            </w:r>
          </w:p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(國際學者)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Textbody"/>
              <w:widowControl w:val="0"/>
              <w:numPr>
                <w:ilvl w:val="0"/>
                <w:numId w:val="2"/>
              </w:numPr>
              <w:spacing w:line="400" w:lineRule="exact"/>
              <w:ind w:left="0"/>
            </w:pPr>
            <w:r>
              <w:rPr>
                <w:rFonts w:ascii="標楷體" w:eastAsia="標楷體" w:hAnsi="標楷體"/>
                <w:sz w:val="28"/>
                <w:szCs w:val="28"/>
              </w:rPr>
              <w:t>美國波士頓學者：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專業學習社群、</w:t>
            </w:r>
            <w:proofErr w:type="gramStart"/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規準</w:t>
            </w:r>
            <w:proofErr w:type="gramEnd"/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研討、有效的教學觀察。</w:t>
            </w:r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Textbody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美國波士頓學者：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規準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研討、有效的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教學觀察。</w:t>
            </w:r>
          </w:p>
          <w:p w:rsidR="00716CE0" w:rsidRDefault="00BF59AB">
            <w:pPr>
              <w:pStyle w:val="Textbody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英國皇家督學：校長領導、教師評鑑。</w:t>
            </w:r>
          </w:p>
          <w:p w:rsidR="00716CE0" w:rsidRDefault="00BF59AB">
            <w:pPr>
              <w:pStyle w:val="Textbody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美國學者</w:t>
            </w:r>
            <w:proofErr w:type="spellStart"/>
            <w:r>
              <w:rPr>
                <w:rFonts w:ascii="標楷體" w:eastAsia="標楷體" w:hAnsi="標楷體"/>
                <w:bCs/>
                <w:sz w:val="28"/>
                <w:szCs w:val="28"/>
              </w:rPr>
              <w:t>Borich</w:t>
            </w:r>
            <w:proofErr w:type="spellEnd"/>
            <w:r>
              <w:rPr>
                <w:rFonts w:ascii="標楷體" w:eastAsia="標楷體" w:hAnsi="標楷體"/>
                <w:bCs/>
                <w:sz w:val="28"/>
                <w:szCs w:val="28"/>
              </w:rPr>
              <w:t>：有效教學</w:t>
            </w:r>
          </w:p>
        </w:tc>
      </w:tr>
      <w:tr w:rsidR="00716CE0"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數位化(圖五)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Textbody"/>
              <w:widowControl w:val="0"/>
              <w:numPr>
                <w:ilvl w:val="0"/>
                <w:numId w:val="2"/>
              </w:numPr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教專網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-申辦、輔導、研習登錄、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認證取號</w:t>
            </w:r>
            <w:proofErr w:type="gramEnd"/>
          </w:p>
        </w:tc>
        <w:tc>
          <w:tcPr>
            <w:tcW w:w="4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Textbody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line="400" w:lineRule="exact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精緻網-申辦審查、研習認證、評鑑實施、諮詢輔導、專業成長計畫、經費控管、E檔案</w:t>
            </w:r>
          </w:p>
        </w:tc>
      </w:tr>
      <w:tr w:rsidR="00716CE0">
        <w:tc>
          <w:tcPr>
            <w:tcW w:w="97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CE0" w:rsidRDefault="00BF59AB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歸納：</w:t>
            </w:r>
          </w:p>
          <w:p w:rsidR="00716CE0" w:rsidRDefault="00BF59AB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="360" w:right="-322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仍由下而上、彰顯地方自主的改革原則，持續協助地方形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塑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同儕團體省</w:t>
            </w:r>
          </w:p>
          <w:p w:rsidR="00716CE0" w:rsidRDefault="00BF59AB">
            <w:pPr>
              <w:pStyle w:val="a3"/>
              <w:widowControl w:val="0"/>
              <w:spacing w:line="400" w:lineRule="exact"/>
              <w:ind w:left="360" w:right="-322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思及其專業成長的文化。</w:t>
            </w:r>
          </w:p>
          <w:p w:rsidR="00716CE0" w:rsidRDefault="00BF59AB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="360" w:right="-108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中央提供完整的專業措施，供縣市、學校依其特色所需進行專業發展。</w:t>
            </w:r>
          </w:p>
        </w:tc>
      </w:tr>
    </w:tbl>
    <w:p w:rsidR="00716CE0" w:rsidRDefault="009C28E6" w:rsidP="009C28E6">
      <w:pPr>
        <w:pStyle w:val="Standard"/>
        <w:ind w:left="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199C79" wp14:editId="25949F2E">
            <wp:simplePos x="0" y="0"/>
            <wp:positionH relativeFrom="margin">
              <wp:posOffset>58420</wp:posOffset>
            </wp:positionH>
            <wp:positionV relativeFrom="paragraph">
              <wp:posOffset>267335</wp:posOffset>
            </wp:positionV>
            <wp:extent cx="5323840" cy="3486150"/>
            <wp:effectExtent l="0" t="0" r="0" b="0"/>
            <wp:wrapNone/>
            <wp:docPr id="2" name="圖片 5" descr="D:\Documents\專業發展支持系統\1050825諮詢會議\簡報1\投影片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486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F59AB">
        <w:rPr>
          <w:rFonts w:ascii="標楷體" w:eastAsia="標楷體" w:hAnsi="標楷體"/>
        </w:rPr>
        <w:t>圖一</w:t>
      </w:r>
    </w:p>
    <w:p w:rsidR="00716CE0" w:rsidRDefault="00716CE0">
      <w:pPr>
        <w:pStyle w:val="Standard"/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Pr="009C28E6" w:rsidRDefault="00716CE0" w:rsidP="009C28E6">
      <w:pPr>
        <w:pStyle w:val="Standard"/>
        <w:ind w:left="0"/>
        <w:rPr>
          <w:rFonts w:ascii="標楷體" w:eastAsia="標楷體" w:hAnsi="標楷體"/>
        </w:rPr>
      </w:pPr>
    </w:p>
    <w:p w:rsidR="00716CE0" w:rsidRDefault="00BF59AB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圖二</w:t>
      </w:r>
    </w:p>
    <w:p w:rsidR="00716CE0" w:rsidRDefault="00BF59AB">
      <w:pPr>
        <w:pStyle w:val="Standard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60840</wp:posOffset>
            </wp:positionH>
            <wp:positionV relativeFrom="paragraph">
              <wp:posOffset>99000</wp:posOffset>
            </wp:positionV>
            <wp:extent cx="5629319" cy="3640320"/>
            <wp:effectExtent l="0" t="0" r="9481" b="0"/>
            <wp:wrapNone/>
            <wp:docPr id="3" name="圖片 6" descr="D:\Documents\專業發展支持系統\1050825諮詢會議\簡報1\投影片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319" cy="3640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 w:rsidP="009C28E6">
      <w:pPr>
        <w:pStyle w:val="Standard"/>
        <w:ind w:left="0"/>
        <w:rPr>
          <w:rFonts w:ascii="標楷體" w:eastAsia="標楷體" w:hAnsi="標楷體"/>
        </w:rPr>
      </w:pPr>
    </w:p>
    <w:p w:rsidR="00716CE0" w:rsidRDefault="00BF59AB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圖三</w:t>
      </w:r>
    </w:p>
    <w:p w:rsidR="00716CE0" w:rsidRDefault="00BF59AB">
      <w:pPr>
        <w:pStyle w:val="Standard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201960</wp:posOffset>
            </wp:positionH>
            <wp:positionV relativeFrom="paragraph">
              <wp:posOffset>210960</wp:posOffset>
            </wp:positionV>
            <wp:extent cx="5286960" cy="3704759"/>
            <wp:effectExtent l="0" t="0" r="8940" b="0"/>
            <wp:wrapNone/>
            <wp:docPr id="4" name="圖片 8" descr="D:\Documents\專業發展支持系統\1050825諮詢會議\簡報1\投影片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960" cy="3704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 w:hint="eastAsia"/>
        </w:rPr>
      </w:pPr>
    </w:p>
    <w:p w:rsidR="009C28E6" w:rsidRDefault="009C28E6">
      <w:pPr>
        <w:pStyle w:val="Standard"/>
        <w:rPr>
          <w:rFonts w:ascii="標楷體" w:eastAsia="標楷體" w:hAnsi="標楷體"/>
        </w:rPr>
      </w:pPr>
      <w:bookmarkStart w:id="0" w:name="_GoBack"/>
      <w:bookmarkEnd w:id="0"/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BF59AB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圖四</w:t>
      </w:r>
    </w:p>
    <w:p w:rsidR="00716CE0" w:rsidRDefault="00BF59AB">
      <w:pPr>
        <w:pStyle w:val="Standard"/>
      </w:pP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124560</wp:posOffset>
            </wp:positionH>
            <wp:positionV relativeFrom="paragraph">
              <wp:posOffset>198000</wp:posOffset>
            </wp:positionV>
            <wp:extent cx="5060880" cy="3610440"/>
            <wp:effectExtent l="0" t="0" r="6420" b="9060"/>
            <wp:wrapNone/>
            <wp:docPr id="5" name="圖片 9" descr="D:\Documents\專業發展支持系統\1050825諮詢會議\簡報1\投影片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0880" cy="3610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BF59AB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圖五</w:t>
      </w:r>
    </w:p>
    <w:p w:rsidR="00716CE0" w:rsidRDefault="00BF59AB">
      <w:pPr>
        <w:pStyle w:val="Standard"/>
      </w:pP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margin">
              <wp:posOffset>-800280</wp:posOffset>
            </wp:positionH>
            <wp:positionV relativeFrom="paragraph">
              <wp:posOffset>314280</wp:posOffset>
            </wp:positionV>
            <wp:extent cx="6927840" cy="5342760"/>
            <wp:effectExtent l="0" t="0" r="6360" b="0"/>
            <wp:wrapNone/>
            <wp:docPr id="6" name="圖片 10" descr="D:\Documents\專業發展支持系統\1050825諮詢會議\簡報1\投影片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840" cy="5342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p w:rsidR="00716CE0" w:rsidRDefault="00716CE0">
      <w:pPr>
        <w:pStyle w:val="Standard"/>
        <w:rPr>
          <w:rFonts w:ascii="標楷體" w:eastAsia="標楷體" w:hAnsi="標楷體"/>
        </w:rPr>
      </w:pPr>
    </w:p>
    <w:sectPr w:rsidR="00716CE0"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56" w:rsidRDefault="00EC1256">
      <w:pPr>
        <w:spacing w:line="240" w:lineRule="auto"/>
      </w:pPr>
      <w:r>
        <w:separator/>
      </w:r>
    </w:p>
  </w:endnote>
  <w:endnote w:type="continuationSeparator" w:id="0">
    <w:p w:rsidR="00EC1256" w:rsidRDefault="00EC1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91" w:rsidRDefault="00BF59AB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C28E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56" w:rsidRDefault="00EC125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C1256" w:rsidRDefault="00EC12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A24"/>
    <w:multiLevelType w:val="multilevel"/>
    <w:tmpl w:val="CC3A663A"/>
    <w:lvl w:ilvl="0">
      <w:numFmt w:val="bullet"/>
      <w:lvlText w:val="•"/>
      <w:lvlJc w:val="left"/>
      <w:rPr>
        <w:rFonts w:ascii="Arial" w:hAnsi="Arial"/>
      </w:rPr>
    </w:lvl>
    <w:lvl w:ilvl="1">
      <w:numFmt w:val="bullet"/>
      <w:lvlText w:val="•"/>
      <w:lvlJc w:val="left"/>
      <w:rPr>
        <w:rFonts w:ascii="Arial" w:hAnsi="Arial"/>
      </w:rPr>
    </w:lvl>
    <w:lvl w:ilvl="2">
      <w:numFmt w:val="bullet"/>
      <w:lvlText w:val="•"/>
      <w:lvlJc w:val="left"/>
      <w:rPr>
        <w:rFonts w:ascii="Arial" w:hAnsi="Arial"/>
      </w:rPr>
    </w:lvl>
    <w:lvl w:ilvl="3">
      <w:numFmt w:val="bullet"/>
      <w:lvlText w:val="•"/>
      <w:lvlJc w:val="left"/>
      <w:rPr>
        <w:rFonts w:ascii="Arial" w:hAnsi="Arial"/>
      </w:rPr>
    </w:lvl>
    <w:lvl w:ilvl="4">
      <w:numFmt w:val="bullet"/>
      <w:lvlText w:val="•"/>
      <w:lvlJc w:val="left"/>
      <w:rPr>
        <w:rFonts w:ascii="Arial" w:hAnsi="Arial"/>
      </w:rPr>
    </w:lvl>
    <w:lvl w:ilvl="5">
      <w:numFmt w:val="bullet"/>
      <w:lvlText w:val="•"/>
      <w:lvlJc w:val="left"/>
      <w:rPr>
        <w:rFonts w:ascii="Arial" w:hAnsi="Arial"/>
      </w:rPr>
    </w:lvl>
    <w:lvl w:ilvl="6">
      <w:numFmt w:val="bullet"/>
      <w:lvlText w:val="•"/>
      <w:lvlJc w:val="left"/>
      <w:rPr>
        <w:rFonts w:ascii="Arial" w:hAnsi="Arial"/>
      </w:rPr>
    </w:lvl>
    <w:lvl w:ilvl="7">
      <w:numFmt w:val="bullet"/>
      <w:lvlText w:val="•"/>
      <w:lvlJc w:val="left"/>
      <w:rPr>
        <w:rFonts w:ascii="Arial" w:hAnsi="Arial"/>
      </w:rPr>
    </w:lvl>
    <w:lvl w:ilvl="8">
      <w:numFmt w:val="bullet"/>
      <w:lvlText w:val="•"/>
      <w:lvlJc w:val="left"/>
      <w:rPr>
        <w:rFonts w:ascii="Arial" w:hAnsi="Arial"/>
      </w:rPr>
    </w:lvl>
  </w:abstractNum>
  <w:abstractNum w:abstractNumId="1">
    <w:nsid w:val="27CC0594"/>
    <w:multiLevelType w:val="multilevel"/>
    <w:tmpl w:val="823CB68C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CE75595"/>
    <w:multiLevelType w:val="multilevel"/>
    <w:tmpl w:val="E5BAA9AE"/>
    <w:lvl w:ilvl="0">
      <w:numFmt w:val="bullet"/>
      <w:lvlText w:val="•"/>
      <w:lvlJc w:val="left"/>
      <w:rPr>
        <w:rFonts w:ascii="Arial" w:hAnsi="Arial"/>
      </w:rPr>
    </w:lvl>
    <w:lvl w:ilvl="1">
      <w:numFmt w:val="bullet"/>
      <w:lvlText w:val="•"/>
      <w:lvlJc w:val="left"/>
      <w:rPr>
        <w:rFonts w:ascii="Arial" w:hAnsi="Arial"/>
      </w:rPr>
    </w:lvl>
    <w:lvl w:ilvl="2">
      <w:numFmt w:val="bullet"/>
      <w:lvlText w:val="•"/>
      <w:lvlJc w:val="left"/>
      <w:rPr>
        <w:rFonts w:ascii="Arial" w:hAnsi="Arial"/>
      </w:rPr>
    </w:lvl>
    <w:lvl w:ilvl="3">
      <w:numFmt w:val="bullet"/>
      <w:lvlText w:val="•"/>
      <w:lvlJc w:val="left"/>
      <w:rPr>
        <w:rFonts w:ascii="Arial" w:hAnsi="Arial"/>
      </w:rPr>
    </w:lvl>
    <w:lvl w:ilvl="4">
      <w:numFmt w:val="bullet"/>
      <w:lvlText w:val="•"/>
      <w:lvlJc w:val="left"/>
      <w:rPr>
        <w:rFonts w:ascii="Arial" w:hAnsi="Arial"/>
      </w:rPr>
    </w:lvl>
    <w:lvl w:ilvl="5">
      <w:numFmt w:val="bullet"/>
      <w:lvlText w:val="•"/>
      <w:lvlJc w:val="left"/>
      <w:rPr>
        <w:rFonts w:ascii="Arial" w:hAnsi="Arial"/>
      </w:rPr>
    </w:lvl>
    <w:lvl w:ilvl="6">
      <w:numFmt w:val="bullet"/>
      <w:lvlText w:val="•"/>
      <w:lvlJc w:val="left"/>
      <w:rPr>
        <w:rFonts w:ascii="Arial" w:hAnsi="Arial"/>
      </w:rPr>
    </w:lvl>
    <w:lvl w:ilvl="7">
      <w:numFmt w:val="bullet"/>
      <w:lvlText w:val="•"/>
      <w:lvlJc w:val="left"/>
      <w:rPr>
        <w:rFonts w:ascii="Arial" w:hAnsi="Arial"/>
      </w:rPr>
    </w:lvl>
    <w:lvl w:ilvl="8">
      <w:numFmt w:val="bullet"/>
      <w:lvlText w:val="•"/>
      <w:lvlJc w:val="left"/>
      <w:rPr>
        <w:rFonts w:ascii="Arial" w:hAnsi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1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6CE0"/>
    <w:rsid w:val="006A4D16"/>
    <w:rsid w:val="00716CE0"/>
    <w:rsid w:val="009C28E6"/>
    <w:rsid w:val="00BF59AB"/>
    <w:rsid w:val="00DD575C"/>
    <w:rsid w:val="00E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80" w:lineRule="exact"/>
        <w:ind w:left="35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pPr>
      <w:spacing w:line="240" w:lineRule="auto"/>
    </w:pPr>
    <w:rPr>
      <w:rFonts w:ascii="Calibri Light" w:hAnsi="Calibri Light"/>
      <w:sz w:val="18"/>
      <w:szCs w:val="18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80" w:lineRule="exact"/>
        <w:ind w:left="35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pPr>
      <w:spacing w:line="240" w:lineRule="auto"/>
    </w:pPr>
    <w:rPr>
      <w:rFonts w:ascii="Calibri Light" w:hAnsi="Calibri Light"/>
      <w:sz w:val="18"/>
      <w:szCs w:val="18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江姮姬</dc:creator>
  <cp:lastModifiedBy>USER</cp:lastModifiedBy>
  <cp:revision>3</cp:revision>
  <cp:lastPrinted>2016-10-13T06:22:00Z</cp:lastPrinted>
  <dcterms:created xsi:type="dcterms:W3CDTF">2016-10-13T06:43:00Z</dcterms:created>
  <dcterms:modified xsi:type="dcterms:W3CDTF">2016-10-13T07:28:00Z</dcterms:modified>
</cp:coreProperties>
</file>