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D6" w:rsidRPr="008E60D6" w:rsidRDefault="008E60D6" w:rsidP="008E60D6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8E60D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E60D6" w:rsidRPr="008E60D6" w:rsidRDefault="008E60D6" w:rsidP="008E60D6">
      <w:pPr>
        <w:widowControl/>
        <w:rPr>
          <w:rFonts w:ascii="細明體" w:eastAsia="細明體" w:hAnsi="細明體" w:cs="新細明體"/>
          <w:kern w:val="0"/>
          <w:sz w:val="23"/>
          <w:szCs w:val="23"/>
        </w:rPr>
      </w:pPr>
      <w:r w:rsidRPr="008E60D6">
        <w:rPr>
          <w:rFonts w:ascii="細明體" w:eastAsia="細明體" w:hAnsi="細明體" w:cs="新細明體"/>
          <w:kern w:val="0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4" o:title=""/>
          </v:shape>
          <w:control r:id="rId5" w:name="DefaultOcxName" w:shapeid="_x0000_i1041"/>
        </w:object>
      </w:r>
    </w:p>
    <w:p w:rsidR="008E60D6" w:rsidRPr="008E60D6" w:rsidRDefault="008E60D6" w:rsidP="008E60D6">
      <w:pPr>
        <w:widowControl/>
        <w:rPr>
          <w:rFonts w:ascii="細明體" w:eastAsia="細明體" w:hAnsi="細明體" w:cs="新細明體" w:hint="eastAsia"/>
          <w:kern w:val="0"/>
          <w:sz w:val="23"/>
          <w:szCs w:val="23"/>
        </w:rPr>
      </w:pPr>
      <w:r w:rsidRPr="008E60D6">
        <w:rPr>
          <w:rFonts w:ascii="細明體" w:eastAsia="細明體" w:hAnsi="細明體" w:cs="新細明體"/>
          <w:kern w:val="0"/>
          <w:sz w:val="23"/>
          <w:szCs w:val="23"/>
        </w:rPr>
        <w:object w:dxaOrig="1440" w:dyaOrig="1440">
          <v:shape id="_x0000_i1040" type="#_x0000_t75" style="width:1in;height:18pt" o:ole="">
            <v:imagedata r:id="rId6" o:title=""/>
          </v:shape>
          <w:control r:id="rId7" w:name="DefaultOcxName1" w:shapeid="_x0000_i1040"/>
        </w:object>
      </w:r>
      <w:r w:rsidRPr="008E60D6">
        <w:rPr>
          <w:rFonts w:ascii="細明體" w:eastAsia="細明體" w:hAnsi="細明體" w:cs="新細明體"/>
          <w:kern w:val="0"/>
          <w:sz w:val="23"/>
          <w:szCs w:val="23"/>
        </w:rPr>
        <w:object w:dxaOrig="1440" w:dyaOrig="1440">
          <v:shape id="_x0000_i1039" type="#_x0000_t75" style="width:1in;height:18pt" o:ole="">
            <v:imagedata r:id="rId8" o:title=""/>
          </v:shape>
          <w:control r:id="rId9" w:name="DefaultOcxName2" w:shapeid="_x0000_i1039"/>
        </w:object>
      </w:r>
    </w:p>
    <w:p w:rsidR="008E60D6" w:rsidRPr="008E60D6" w:rsidRDefault="008E60D6" w:rsidP="008E60D6">
      <w:pPr>
        <w:widowControl/>
        <w:rPr>
          <w:rFonts w:ascii="細明體" w:eastAsia="細明體" w:hAnsi="細明體" w:cs="新細明體" w:hint="eastAsia"/>
          <w:kern w:val="0"/>
          <w:sz w:val="23"/>
          <w:szCs w:val="23"/>
        </w:rPr>
      </w:pPr>
      <w:r>
        <w:rPr>
          <w:rFonts w:ascii="細明體" w:eastAsia="細明體" w:hAnsi="細明體" w:cs="新細明體"/>
          <w:noProof/>
          <w:kern w:val="0"/>
          <w:sz w:val="23"/>
          <w:szCs w:val="23"/>
        </w:rPr>
        <w:drawing>
          <wp:inline distT="0" distB="0" distL="0" distR="0">
            <wp:extent cx="3019425" cy="523875"/>
            <wp:effectExtent l="19050" t="0" r="9525" b="0"/>
            <wp:docPr id="1" name="圖片 1" descr="全國法規資料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全國法規資料庫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D6" w:rsidRPr="008E60D6" w:rsidRDefault="008E60D6" w:rsidP="008E60D6">
      <w:pPr>
        <w:widowControl/>
        <w:jc w:val="right"/>
        <w:rPr>
          <w:rFonts w:ascii="細明體" w:eastAsia="細明體" w:hAnsi="細明體" w:cs="新細明體" w:hint="eastAsia"/>
          <w:kern w:val="0"/>
          <w:sz w:val="20"/>
          <w:szCs w:val="20"/>
        </w:rPr>
      </w:pPr>
      <w:r w:rsidRPr="008E60D6">
        <w:rPr>
          <w:rFonts w:ascii="細明體" w:eastAsia="細明體" w:hAnsi="細明體" w:cs="新細明體" w:hint="eastAsia"/>
          <w:kern w:val="0"/>
          <w:sz w:val="20"/>
          <w:szCs w:val="20"/>
        </w:rPr>
        <w:t>列印時間：106/12/05 12:57</w:t>
      </w:r>
    </w:p>
    <w:p w:rsidR="008E60D6" w:rsidRPr="008E60D6" w:rsidRDefault="008E60D6" w:rsidP="008E60D6">
      <w:pPr>
        <w:widowControl/>
        <w:spacing w:before="30" w:after="30"/>
        <w:rPr>
          <w:rFonts w:ascii="細明體" w:eastAsia="細明體" w:hAnsi="細明體" w:cs="新細明體" w:hint="eastAsia"/>
          <w:kern w:val="0"/>
          <w:sz w:val="23"/>
          <w:szCs w:val="23"/>
        </w:rPr>
      </w:pPr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pict>
          <v:rect id="_x0000_i1026" style="width:523.3pt;height:1.5pt" o:hralign="center" o:hrstd="t" o:hrnoshade="t" o:hr="t" fillcolor="#391e87" stroked="f"/>
        </w:pict>
      </w:r>
    </w:p>
    <w:p w:rsidR="008E60D6" w:rsidRPr="008E60D6" w:rsidRDefault="008E60D6" w:rsidP="008E60D6">
      <w:pPr>
        <w:widowControl/>
        <w:spacing w:before="30" w:after="30"/>
        <w:rPr>
          <w:rFonts w:ascii="細明體" w:eastAsia="細明體" w:hAnsi="細明體" w:cs="新細明體" w:hint="eastAsia"/>
          <w:kern w:val="0"/>
          <w:sz w:val="23"/>
          <w:szCs w:val="23"/>
        </w:rPr>
      </w:pPr>
      <w:r>
        <w:rPr>
          <w:rFonts w:ascii="細明體" w:eastAsia="細明體" w:hAnsi="細明體" w:cs="新細明體"/>
          <w:noProof/>
          <w:kern w:val="0"/>
          <w:sz w:val="23"/>
          <w:szCs w:val="23"/>
        </w:rPr>
        <w:drawing>
          <wp:inline distT="0" distB="0" distL="0" distR="0">
            <wp:extent cx="571500" cy="180975"/>
            <wp:effectExtent l="19050" t="0" r="0" b="0"/>
            <wp:docPr id="3" name="圖片 3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載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&amp;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lt</w:t>
      </w:r>
      <w:proofErr w:type="gram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;input</w:t>
      </w:r>
      <w:proofErr w:type="spellEnd"/>
      <w:proofErr w:type="gram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 xml:space="preserve"> type="image" name="ctl00$cphContent$btnNoSDownLoad" id="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cphContent_btnNoSDownLoad</w:t>
      </w:r>
      <w:proofErr w:type="spell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 xml:space="preserve">" 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src</w:t>
      </w:r>
      <w:proofErr w:type="spell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="../images/flag/DL.jpg" alt="下載" align="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absmiddle</w:t>
      </w:r>
      <w:proofErr w:type="spell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" style="border-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style:None</w:t>
      </w:r>
      <w:proofErr w:type="gram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;display:none</w:t>
      </w:r>
      <w:proofErr w:type="spellEnd"/>
      <w:proofErr w:type="gram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;" /&amp;</w:t>
      </w:r>
      <w:proofErr w:type="spellStart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>gt</w:t>
      </w:r>
      <w:proofErr w:type="spellEnd"/>
      <w:r w:rsidRPr="008E60D6">
        <w:rPr>
          <w:rFonts w:ascii="細明體" w:eastAsia="細明體" w:hAnsi="細明體" w:cs="新細明體" w:hint="eastAsia"/>
          <w:kern w:val="0"/>
          <w:sz w:val="23"/>
          <w:szCs w:val="23"/>
        </w:rPr>
        <w:t xml:space="preserve">; </w:t>
      </w: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62"/>
        <w:gridCol w:w="8188"/>
      </w:tblGrid>
      <w:tr w:rsidR="008E60D6" w:rsidRPr="008E60D6" w:rsidTr="008E60D6">
        <w:trPr>
          <w:tblCellSpacing w:w="15" w:type="dxa"/>
        </w:trPr>
        <w:tc>
          <w:tcPr>
            <w:tcW w:w="650" w:type="pct"/>
            <w:noWrap/>
            <w:tcMar>
              <w:top w:w="45" w:type="dxa"/>
              <w:left w:w="0" w:type="dxa"/>
              <w:bottom w:w="0" w:type="dxa"/>
              <w:right w:w="240" w:type="dxa"/>
            </w:tcMar>
            <w:hideMark/>
          </w:tcPr>
          <w:p w:rsidR="008E60D6" w:rsidRPr="008E60D6" w:rsidRDefault="008E60D6" w:rsidP="008E60D6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>名　　稱</w:t>
            </w:r>
          </w:p>
        </w:tc>
        <w:tc>
          <w:tcPr>
            <w:tcW w:w="43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性騷擾防治法 </w:t>
            </w:r>
            <w:r>
              <w:rPr>
                <w:rFonts w:ascii="細明體" w:eastAsia="細明體" w:hAnsi="細明體" w:cs="新細明體"/>
                <w:noProof/>
                <w:kern w:val="0"/>
                <w:sz w:val="23"/>
                <w:szCs w:val="23"/>
              </w:rPr>
              <w:drawing>
                <wp:inline distT="0" distB="0" distL="0" distR="0">
                  <wp:extent cx="152400" cy="133350"/>
                  <wp:effectExtent l="19050" t="0" r="0" b="0"/>
                  <wp:docPr id="4" name="圖片 4" descr="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50" w:type="pct"/>
            <w:noWrap/>
            <w:tcMar>
              <w:top w:w="45" w:type="dxa"/>
              <w:left w:w="0" w:type="dxa"/>
              <w:bottom w:w="0" w:type="dxa"/>
              <w:right w:w="240" w:type="dxa"/>
            </w:tcMar>
            <w:hideMark/>
          </w:tcPr>
          <w:p w:rsidR="008E60D6" w:rsidRPr="008E60D6" w:rsidRDefault="008E60D6" w:rsidP="008E60D6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 xml:space="preserve">修正日期 </w:t>
            </w:r>
          </w:p>
        </w:tc>
        <w:tc>
          <w:tcPr>
            <w:tcW w:w="43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民國 98 年 01 月 23 日 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noWrap/>
            <w:tcMar>
              <w:top w:w="45" w:type="dxa"/>
              <w:left w:w="0" w:type="dxa"/>
              <w:bottom w:w="0" w:type="dxa"/>
              <w:right w:w="240" w:type="dxa"/>
            </w:tcMar>
            <w:hideMark/>
          </w:tcPr>
          <w:p w:rsidR="008E60D6" w:rsidRPr="008E60D6" w:rsidRDefault="008E60D6" w:rsidP="008E60D6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b/>
                <w:bCs/>
                <w:kern w:val="0"/>
                <w:sz w:val="23"/>
                <w:szCs w:val="23"/>
              </w:rPr>
              <w:t>法規類別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行政 ＞ 衛生福利部 ＞ 保護服務目 </w:t>
            </w:r>
          </w:p>
        </w:tc>
      </w:tr>
    </w:tbl>
    <w:p w:rsidR="008E60D6" w:rsidRPr="008E60D6" w:rsidRDefault="008E60D6" w:rsidP="008E60D6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tbl>
      <w:tblPr>
        <w:tblW w:w="425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114"/>
        <w:gridCol w:w="208"/>
        <w:gridCol w:w="7702"/>
      </w:tblGrid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章 總則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為防治性騷擾及保護被害人之權益，特制定本法。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有關性騷擾之定義及性騷擾事件之處理及防治，依本法之規定，本法未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規</w:t>
            </w:r>
            <w:proofErr w:type="gramEnd"/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定者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，適用其他法律。但適用性別工作平等法及性別平等教育法者，除第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十二條、第二十四條及第二十五條外，不適用本法之規定。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本法所稱性騷擾，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係指性侵害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犯罪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以外，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對他人實施違反其意願而與性或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性別有關之行為，且有下列情形之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者：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一、以該他人順服或拒絕該行為，作為其獲得、喪失或減損與工作、教育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、訓練、服務、計畫、活動有關權益之條件。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二、以展示或播送文字、圖畫、聲音、影像或其他物品之方式，或以歧視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、侮辱之言行，或以他法，而有損害他人人格尊嚴，或造成使人心生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畏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怖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、感受敵意或冒犯之情境，或不當影響其工作、教育、訓練、服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務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、計畫、活動或正常生活之進行。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3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本法所稱公務員者，指依法令從事於公務之人員。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本法所稱機關者，指政府機關。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本法所稱部隊者，指國防部所屬軍隊及學校。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本法所稱學校者，指公私立各級學校。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本法所稱機構者，指法人、合夥、設有代表人或管理人之非法人團體及其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他組織。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4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本法所稱主管機關：在中央為內政部；在直轄市為直轄市政府；在縣 (市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) 為縣 (市) 政府。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5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中央主管機關辦理下列事項。但涉及各中央目的事業主管機關職掌者，由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各中央目的事業主管機關辦理：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一、關於性騷擾防治政策、法規之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研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擬及審議事項。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>二、關於協調、督導及考核各級政府性騷擾防治之執行事項。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三、關於地方主管機關設立性騷擾事件處理程序、諮詢、醫療及服務網絡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之督導事項。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四、關於推展性騷擾防治教育及宣導事項。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五、關於性騷擾防治績效優良之機關、學校、機構、僱用人、團體或個人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之獎勵事項。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六、關於性騷擾事件各項資料之彙整及統計事項。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七、關於性騷擾防治趨勢及有關問題研究之事項。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八、關於性騷擾防治之其他事項。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6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直轄市、縣 (市) 政府應設性騷擾防治委員會，辦理下列事項。但涉及各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直轄市、縣 (市) 目的事業主管機關職掌者，由各直轄市、縣 (市) 目的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事業主管機關辦理：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一、關於性騷擾防治政策及法規之擬定事項。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二、關於協調、督導及執行性騷擾防治事項。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三、關於性騷擾爭議案件之調查、調解及移送有關機關事項。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四、關於推展性騷擾防治教育訓練及宣導事項。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五、關於性騷擾事件各項資料之彙整及統計事項。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六、關於性騷擾防治之其他事項。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前項性騷擾防治委員會置主任委員一人，由直轄市市長、縣 (市) 長或副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首長兼任；有關機關高級職員、社會公正人士、民間團體代表、學者、專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家為委員；其中社會公正人士、民間團體代表、學者、專家人數不得少於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二分之一；其中女性代表不得少於二分之一；其組織由地方主管機關定之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二 章 性騷擾之防治與責任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7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機關、部隊、學校、機構或僱用人，應防治性騷擾行為之發生。於知悉有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性騷擾之情形時，應採取立即有效之糾正及補救措施。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前項組織成員、受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僱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人或受服務人員人數達十人以上者，應設立申訴管道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協調處理；其人數達三十人以上者，應訂定性騷擾防治措施，並公開揭示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之。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為預防與處理性騷擾事件，中央主管機關應訂定性騷擾防治之準則；其內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容應包括性騷擾防治原則、申訴管道、懲處辦法、教育訓練方案及其他相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關措施。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8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前條所定機關、部隊、學校、機構或僱用人應定期舉辦或鼓勵所屬人員參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與防治性騷擾之相關教育訓練。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9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對他人為性騷擾者，負損害賠償責任。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前項情形，雖非財產上之損害，亦得請求賠償相當之金額，其名譽被侵害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者，並得請求回復名譽之適當處分。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10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機關、部隊、學校、機構、僱用人對於在性騷擾事件申訴、調查、偵查或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審理程序中，為申訴、告訴、告發、提起訴訟、作證、提供協助或其他參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與行為之人，不得為不當之差別待遇。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>違反前項規定者，負損害賠償責任。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11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受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僱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人、機構負責人利用執行職務之便，對他人為性騷擾，依第九條第二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項對被害人為回復名譽之適當處分時，雇主、機構應提供適當之協助。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學生、接受教育或訓練之人員於學校、教育或訓練機構接受教育或訓練時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，對他人為性騷擾，依第九條第二項對被害人為回復名譽之適當處分時，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學校或教育訓練機構應提供適當之協助。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前二項之規定於機關不適用之。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12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廣告物、出版品、廣播、電視、電子訊號、電腦網路或其他媒體，不得報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導或記載被害人之姓名或其他足資識別被害人身分之資訊。但經有行為能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力之被害人同意或犯罪偵查機關依法認為有必要者，不在此限。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三 章 申訴及調查程序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13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性騷擾事件被害人除可依相關法律請求協助外，並得於事件發生後一年內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，向加害人所屬機關、部隊、學校、機構、僱用人或直轄市、縣 (市) 主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管機關提出申訴。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前項直轄市、縣 (市) 主管機關受理申訴後，應即將該案件移送加害人所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屬機關、部隊、學校、機構或僱用人調查，並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予錄案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列管；加害人不明或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不知有無所屬機關、部隊、學校、機構或僱用人時，應移請事件發生地警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察機關調查。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機關、部隊、學校、機構或僱用人，應於申訴或移送到達之日起七日內開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始調查，並應於二個月內調查完成；必要時，得延長一個月，並應通知當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事人。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前項調查結果應以書面通知當事人及直轄市、縣 (市) 主管機關。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機關、部隊、學校、機構或僱用人逾期未完成調查或當事人不服其調查結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果者，當事人得於期限屆滿或調查結果通知到達之次日起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十日內，向直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轄市、縣 (市) 主管機關提出再申訴。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當事人逾期提出申訴或再申訴時，直轄市、縣 (市) 主管機關得不予受理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14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直轄市、縣 (市) 主管機關受理性騷擾再申訴案件後，性騷擾防治委員會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主任委員應於七日內指派委員三人至五人組成調查小組，並推選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人為小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組召集人，進行調查。並依前條第三項及第四項規定辦理。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15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性騷擾事件已進入偵查或審判程序者，直轄市或縣 (市) 性騷擾防治委員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會認有必要時，得議決於該程序終結前，停止該事件之處理。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四 章 調解程序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16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性騷擾事件雙方當事人得以書面或言詞向直轄市、縣 (市) 主管機關申請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調解；其以言詞申請者，應製作筆錄。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前項申請應表明調解事由及爭議情形。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有關第一項調解案件之管轄、調解案件保密、規定期日不到場之效力、請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求有關機關協助等事項，由中央主管機關另以辦法定之。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17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調解除勘驗費，應由當事人核實支付外，不得收取任何費用或報酬。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第 18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調解成立者，應作成調解書。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前項調解書之作成及效力，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準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用鄉鎮市調解條例第二十五條至第二十九條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之規定。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19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調解不成立者，當事人得向該管地方政府性騷擾防治委員會申請將調解事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件移送該管司法機關；其第一審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裁判費暫免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徵收。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五 章 罰則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20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對他人為性騷擾者，由直轄市、縣 (市) 主管機關處新臺幣一萬元以上十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萬元以下罰鍰。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21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對於因教育、訓練、醫療、公務、業務、求職或其他相類關係受自己監督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、照護之人，利用權勢或機會為性騷擾者，得加重科處罰鍰至二分之一。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22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違反第七條第一項後段、第二項規定者，由直轄市、縣 (市) 主管機關處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新臺幣一萬元以上十萬元以下罰鍰。經通知限期改正仍不改正者，得按次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連續處罰。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23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機關、部隊、學校、機構或僱用人為第十條第一項規定者，由直轄市、縣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(市) 主管機關處新臺幣一萬元以上十萬元以下罰鍰。經通知限期改正仍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不改正者，得按次連續處罰。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24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違反第十二條規定者，由各該目的事業主管機關處新臺幣六萬元以上三十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萬元以下罰鍰，並得沒入第十二條之物品或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採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行其他必要之處置。其經通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知限期改正，屆期不改正者，得按次連續處罰。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25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意圖性騷擾，乘人不及抗拒而為親吻、擁抱或觸摸其臀部、胸部或其他身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體隱私處之行為者，處二年以下有期徒刑、拘役或科或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併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科新臺幣十萬元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以下罰金。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前項之罪，須告訴乃論。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第 六 章 附則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26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第七條至第十一條、第二十二條及第二十三條之規定，於性侵害犯罪</w:t>
            </w:r>
            <w:proofErr w:type="gramStart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準</w:t>
            </w:r>
            <w:proofErr w:type="gramEnd"/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用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之。</w:t>
            </w:r>
          </w:p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前項行政罰鍰之科處，由性侵害犯罪防治主管機關為之。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27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本法施行細則，由中央主管機關定之。</w:t>
            </w:r>
          </w:p>
        </w:tc>
      </w:tr>
      <w:tr w:rsidR="008E60D6" w:rsidRPr="008E60D6" w:rsidTr="008E60D6">
        <w:trPr>
          <w:tblCellSpacing w:w="15" w:type="dxa"/>
        </w:trPr>
        <w:tc>
          <w:tcPr>
            <w:tcW w:w="6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第 28 條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spacing w:line="312" w:lineRule="auto"/>
              <w:jc w:val="center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E60D6" w:rsidRPr="008E60D6" w:rsidRDefault="008E60D6" w:rsidP="008E60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8E60D6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本法自公布後一年施行。</w:t>
            </w:r>
          </w:p>
        </w:tc>
      </w:tr>
    </w:tbl>
    <w:p w:rsidR="008E60D6" w:rsidRPr="008E60D6" w:rsidRDefault="008E60D6" w:rsidP="008E60D6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8E60D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B63F0C" w:rsidRDefault="00B63F0C"/>
    <w:sectPr w:rsidR="00B63F0C" w:rsidSect="008E60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0D6"/>
    <w:rsid w:val="008E60D6"/>
    <w:rsid w:val="00B6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E60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E60D6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0D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E60D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0D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E60D6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E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802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control" Target="activeX/activeX1.xml"/><Relationship Id="rId10" Type="http://schemas.openxmlformats.org/officeDocument/2006/relationships/image" Target="media/image4.gi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2017-12-13T04:20:00Z</dcterms:created>
  <dcterms:modified xsi:type="dcterms:W3CDTF">2017-12-13T04:20:00Z</dcterms:modified>
</cp:coreProperties>
</file>