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D5" w:rsidRDefault="008F1B47" w:rsidP="008F1B47">
      <w:pPr>
        <w:jc w:val="center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花蓮縣</w:t>
      </w:r>
      <w:r w:rsidR="00D30DD5" w:rsidRPr="00172B17">
        <w:rPr>
          <w:rFonts w:ascii="標楷體" w:eastAsia="標楷體" w:hAnsi="標楷體" w:hint="eastAsia"/>
          <w:sz w:val="28"/>
        </w:rPr>
        <w:t>明廉國</w:t>
      </w:r>
      <w:r>
        <w:rPr>
          <w:rFonts w:ascii="標楷體" w:eastAsia="標楷體" w:hAnsi="標楷體" w:hint="eastAsia"/>
          <w:sz w:val="28"/>
        </w:rPr>
        <w:t>小</w:t>
      </w:r>
      <w:proofErr w:type="gramEnd"/>
      <w:r>
        <w:rPr>
          <w:rFonts w:ascii="標楷體" w:eastAsia="標楷體" w:hAnsi="標楷體" w:hint="eastAsia"/>
          <w:sz w:val="28"/>
        </w:rPr>
        <w:t>109學年第</w:t>
      </w:r>
      <w:r w:rsidR="005558D6">
        <w:rPr>
          <w:rFonts w:ascii="標楷體" w:eastAsia="標楷體" w:hAnsi="標楷體" w:hint="eastAsia"/>
          <w:sz w:val="28"/>
        </w:rPr>
        <w:t>___</w:t>
      </w:r>
      <w:r>
        <w:rPr>
          <w:rFonts w:ascii="標楷體" w:eastAsia="標楷體" w:hAnsi="標楷體" w:hint="eastAsia"/>
          <w:sz w:val="28"/>
        </w:rPr>
        <w:t>學期</w:t>
      </w:r>
      <w:r w:rsidR="00D30DD5" w:rsidRPr="00172B17">
        <w:rPr>
          <w:rFonts w:ascii="標楷體" w:eastAsia="標楷體" w:hAnsi="標楷體" w:hint="eastAsia"/>
          <w:sz w:val="28"/>
        </w:rPr>
        <w:t>____年___班成績評量</w:t>
      </w:r>
      <w:r w:rsidR="00503479">
        <w:rPr>
          <w:rFonts w:ascii="標楷體" w:eastAsia="標楷體" w:hAnsi="標楷體" w:hint="eastAsia"/>
          <w:sz w:val="28"/>
        </w:rPr>
        <w:t>計畫</w:t>
      </w:r>
      <w:r w:rsidR="00D30DD5" w:rsidRPr="00503479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低)</w:t>
      </w:r>
    </w:p>
    <w:p w:rsidR="008F1B47" w:rsidRDefault="008F1B47" w:rsidP="008F1B47">
      <w:pPr>
        <w:snapToGrid w:val="0"/>
        <w:jc w:val="center"/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87"/>
        <w:gridCol w:w="6740"/>
        <w:gridCol w:w="1666"/>
      </w:tblGrid>
      <w:tr w:rsidR="00D30DD5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領    域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F803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  <w:r w:rsidR="00503479">
              <w:rPr>
                <w:rFonts w:ascii="標楷體" w:eastAsia="標楷體" w:hAnsi="標楷體" w:hint="eastAsia"/>
              </w:rPr>
              <w:t>及</w:t>
            </w:r>
            <w:r w:rsidR="00F8037C">
              <w:rPr>
                <w:rFonts w:ascii="標楷體" w:eastAsia="標楷體" w:hAnsi="標楷體" w:hint="eastAsia"/>
              </w:rPr>
              <w:t>成績計算比例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任課教師    </w:t>
            </w:r>
          </w:p>
        </w:tc>
      </w:tr>
      <w:tr w:rsidR="00D30DD5" w:rsidTr="00D30DD5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D30DD5">
              <w:rPr>
                <w:rFonts w:ascii="標楷體" w:eastAsia="標楷體" w:hAnsi="標楷體" w:hint="eastAsia"/>
                <w:sz w:val="20"/>
                <w:szCs w:val="16"/>
              </w:rPr>
              <w:t>國語文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spacing w:val="-6"/>
                <w:sz w:val="22"/>
              </w:rPr>
            </w:pPr>
          </w:p>
        </w:tc>
      </w:tr>
      <w:tr w:rsidR="00D30DD5" w:rsidTr="00D30DD5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D30DD5">
              <w:rPr>
                <w:rFonts w:ascii="標楷體" w:eastAsia="標楷體" w:hAnsi="標楷體" w:hint="eastAsia"/>
                <w:sz w:val="20"/>
                <w:szCs w:val="16"/>
              </w:rPr>
              <w:t>本土語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51" w:rsidRDefault="007B6DB0" w:rsidP="00140451">
            <w:pPr>
              <w:jc w:val="both"/>
              <w:rPr>
                <w:rFonts w:ascii="標楷體" w:eastAsia="標楷體" w:hint="eastAsia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  <w:p w:rsidR="00D30DD5" w:rsidRDefault="000615A9" w:rsidP="00140451">
            <w:pPr>
              <w:jc w:val="both"/>
              <w:rPr>
                <w:rFonts w:ascii="標楷體" w:eastAsia="標楷體" w:hint="eastAsia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族語</w:t>
            </w:r>
            <w:r w:rsidR="00140451">
              <w:rPr>
                <w:rFonts w:ascii="標楷體" w:eastAsia="標楷體" w:hint="eastAsia"/>
                <w:spacing w:val="-6"/>
                <w:sz w:val="22"/>
              </w:rPr>
              <w:t>平時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：</w:t>
            </w:r>
            <w:r>
              <w:rPr>
                <w:rFonts w:ascii="標楷體" w:eastAsia="標楷體" w:hint="eastAsia"/>
                <w:spacing w:val="-6"/>
                <w:sz w:val="22"/>
              </w:rPr>
              <w:t>學習單</w:t>
            </w:r>
            <w:r w:rsidR="00140451">
              <w:rPr>
                <w:rFonts w:ascii="標楷體" w:eastAsia="標楷體" w:hint="eastAsia"/>
                <w:spacing w:val="-6"/>
                <w:sz w:val="22"/>
              </w:rPr>
              <w:t>15</w:t>
            </w:r>
            <w:r>
              <w:rPr>
                <w:rFonts w:ascii="標楷體" w:eastAsia="標楷體" w:hint="eastAsia"/>
                <w:spacing w:val="-6"/>
                <w:sz w:val="22"/>
              </w:rPr>
              <w:t>%、聽力與口語溝通</w:t>
            </w:r>
            <w:r w:rsidR="00140451">
              <w:rPr>
                <w:rFonts w:ascii="標楷體" w:eastAsia="標楷體" w:hint="eastAsia"/>
                <w:spacing w:val="-6"/>
                <w:sz w:val="22"/>
              </w:rPr>
              <w:t>15%、檔案評量20%</w:t>
            </w:r>
          </w:p>
          <w:p w:rsidR="00140451" w:rsidRDefault="00140451" w:rsidP="0014045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客語平時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：</w:t>
            </w:r>
            <w:r>
              <w:rPr>
                <w:rFonts w:ascii="標楷體" w:eastAsia="標楷體" w:hint="eastAsia"/>
                <w:spacing w:val="-6"/>
                <w:sz w:val="22"/>
              </w:rPr>
              <w:t>學習單</w:t>
            </w:r>
            <w:r>
              <w:rPr>
                <w:rFonts w:ascii="標楷體" w:eastAsia="標楷體" w:hint="eastAsia"/>
                <w:spacing w:val="-6"/>
                <w:sz w:val="22"/>
              </w:rPr>
              <w:t>2</w:t>
            </w:r>
            <w:r>
              <w:rPr>
                <w:rFonts w:ascii="標楷體" w:eastAsia="標楷體" w:hint="eastAsia"/>
                <w:spacing w:val="-6"/>
                <w:sz w:val="22"/>
              </w:rPr>
              <w:t>5%、聽力與口語溝通</w:t>
            </w:r>
            <w:r>
              <w:rPr>
                <w:rFonts w:ascii="標楷體" w:eastAsia="標楷體" w:hint="eastAsia"/>
                <w:spacing w:val="-6"/>
                <w:sz w:val="22"/>
              </w:rPr>
              <w:t>2</w:t>
            </w:r>
            <w:r>
              <w:rPr>
                <w:rFonts w:ascii="標楷體" w:eastAsia="標楷體" w:hint="eastAsia"/>
                <w:spacing w:val="-6"/>
                <w:sz w:val="22"/>
              </w:rPr>
              <w:t>5%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58D6">
              <w:rPr>
                <w:rFonts w:ascii="標楷體" w:eastAsia="標楷體" w:hAnsi="標楷體" w:hint="eastAsia"/>
                <w:sz w:val="20"/>
                <w:szCs w:val="24"/>
              </w:rPr>
              <w:t>依學生選課</w:t>
            </w:r>
            <w:proofErr w:type="gramStart"/>
            <w:r w:rsidRPr="005558D6">
              <w:rPr>
                <w:rFonts w:ascii="標楷體" w:eastAsia="標楷體" w:hAnsi="標楷體" w:hint="eastAsia"/>
                <w:sz w:val="20"/>
                <w:szCs w:val="24"/>
              </w:rPr>
              <w:t>組別編班</w:t>
            </w:r>
            <w:proofErr w:type="gramEnd"/>
          </w:p>
        </w:tc>
      </w:tr>
      <w:tr w:rsidR="00D30DD5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</w:rPr>
            </w:pPr>
          </w:p>
        </w:tc>
      </w:tr>
      <w:tr w:rsidR="00273550" w:rsidTr="00273550">
        <w:trPr>
          <w:trHeight w:val="56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550" w:rsidRDefault="00273550" w:rsidP="00D30D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550" w:rsidRDefault="00273550" w:rsidP="00D30D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0" w:rsidRDefault="007B6DB0" w:rsidP="004871E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50" w:rsidRDefault="00273550" w:rsidP="004871E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73550" w:rsidTr="00273550">
        <w:trPr>
          <w:trHeight w:val="567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50" w:rsidRDefault="00273550" w:rsidP="00D30DD5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0" w:rsidRDefault="00273550" w:rsidP="00D30DD5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視覺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0" w:rsidRDefault="007B6DB0" w:rsidP="004871E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  <w:p w:rsidR="00273550" w:rsidRDefault="00273550" w:rsidP="004871E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50" w:rsidRDefault="00273550" w:rsidP="004871E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D30DD5" w:rsidTr="00D30DD5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7B6DB0" w:rsidP="004871E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D30DD5" w:rsidTr="004871EA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rPr>
                <w:rFonts w:ascii="標楷體" w:eastAsia="標楷體" w:hAnsi="標楷體"/>
                <w:color w:val="000000"/>
                <w:szCs w:val="18"/>
              </w:rPr>
            </w:pPr>
            <w:r w:rsidRPr="00273550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彈性學習</w:t>
            </w:r>
            <w:r w:rsidR="00273550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課程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D30DD5">
              <w:rPr>
                <w:rFonts w:ascii="標楷體" w:eastAsia="標楷體" w:hAnsi="標楷體" w:hint="eastAsia"/>
                <w:sz w:val="22"/>
              </w:rPr>
              <w:t>趣味數學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7B6DB0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30DD5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D30DD5">
              <w:rPr>
                <w:rFonts w:ascii="標楷體" w:eastAsia="標楷體" w:hAnsi="標楷體" w:hint="eastAsia"/>
                <w:color w:val="000000"/>
                <w:sz w:val="22"/>
              </w:rPr>
              <w:t>校定課程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7B6DB0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30DD5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D30DD5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團體閱讀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7B6DB0" w:rsidP="004871EA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</w:tr>
    </w:tbl>
    <w:p w:rsidR="00D30DD5" w:rsidRDefault="00D30DD5" w:rsidP="00D30DD5">
      <w:pPr>
        <w:snapToGrid w:val="0"/>
        <w:spacing w:line="360" w:lineRule="auto"/>
        <w:ind w:leftChars="-74" w:left="1437" w:rightChars="-37" w:right="-89" w:hangingChars="673" w:hanging="1615"/>
        <w:jc w:val="both"/>
        <w:rPr>
          <w:rFonts w:ascii="標楷體" w:eastAsia="標楷體" w:hAnsi="標楷體"/>
          <w:szCs w:val="24"/>
        </w:rPr>
      </w:pPr>
    </w:p>
    <w:p w:rsidR="00D30DD5" w:rsidRPr="00764451" w:rsidRDefault="00F8037C" w:rsidP="00D30DD5">
      <w:pPr>
        <w:snapToGrid w:val="0"/>
        <w:spacing w:line="360" w:lineRule="auto"/>
        <w:ind w:leftChars="-74" w:left="1437" w:rightChars="-37" w:right="-89" w:hangingChars="673" w:hanging="161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評量方式及成績計算比例</w:t>
      </w:r>
      <w:r w:rsidR="00D30DD5" w:rsidRPr="00764451">
        <w:rPr>
          <w:rFonts w:ascii="標楷體" w:eastAsia="標楷體" w:hAnsi="標楷體" w:hint="eastAsia"/>
          <w:szCs w:val="24"/>
        </w:rPr>
        <w:t>說明：</w:t>
      </w:r>
    </w:p>
    <w:p w:rsidR="00D30DD5" w:rsidRPr="00764451" w:rsidRDefault="00D30DD5" w:rsidP="00D30DD5">
      <w:pPr>
        <w:snapToGrid w:val="0"/>
        <w:spacing w:line="360" w:lineRule="auto"/>
        <w:ind w:leftChars="75" w:left="420" w:rightChars="-37" w:right="-89" w:hangingChars="100" w:hanging="240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1.</w:t>
      </w:r>
      <w:r w:rsidR="007B6DB0">
        <w:rPr>
          <w:rFonts w:ascii="標楷體" w:eastAsia="標楷體" w:hAnsi="標楷體" w:hint="eastAsia"/>
          <w:szCs w:val="24"/>
        </w:rPr>
        <w:t>各領域成績計算</w:t>
      </w:r>
      <w:r w:rsidR="007B6DB0" w:rsidRPr="00764451">
        <w:rPr>
          <w:rFonts w:ascii="標楷體" w:eastAsia="標楷體" w:hAnsi="標楷體" w:hint="eastAsia"/>
          <w:szCs w:val="24"/>
        </w:rPr>
        <w:t>為定期評量與平時評量各</w:t>
      </w:r>
      <w:proofErr w:type="gramStart"/>
      <w:r w:rsidR="007B6DB0" w:rsidRPr="00764451">
        <w:rPr>
          <w:rFonts w:ascii="標楷體" w:eastAsia="標楷體" w:hAnsi="標楷體" w:hint="eastAsia"/>
          <w:szCs w:val="24"/>
        </w:rPr>
        <w:t>佔</w:t>
      </w:r>
      <w:proofErr w:type="gramEnd"/>
      <w:r w:rsidR="007B6DB0" w:rsidRPr="00764451">
        <w:rPr>
          <w:rFonts w:ascii="標楷體" w:eastAsia="標楷體" w:hAnsi="標楷體" w:hint="eastAsia"/>
          <w:szCs w:val="24"/>
        </w:rPr>
        <w:t>50％</w:t>
      </w:r>
      <w:r w:rsidRPr="00764451">
        <w:rPr>
          <w:rFonts w:ascii="標楷體" w:eastAsia="標楷體" w:hAnsi="標楷體" w:hint="eastAsia"/>
          <w:szCs w:val="24"/>
        </w:rPr>
        <w:t>。</w:t>
      </w:r>
    </w:p>
    <w:p w:rsidR="00D30DD5" w:rsidRPr="00764451" w:rsidRDefault="00D30DD5" w:rsidP="00D30DD5">
      <w:pPr>
        <w:snapToGrid w:val="0"/>
        <w:spacing w:line="360" w:lineRule="auto"/>
        <w:ind w:leftChars="75" w:left="358" w:rightChars="-37" w:right="-89" w:hangingChars="74" w:hanging="178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2.平時評量方式：</w:t>
      </w:r>
    </w:p>
    <w:p w:rsidR="00D30DD5" w:rsidRDefault="00D30DD5" w:rsidP="00D30DD5">
      <w:pPr>
        <w:snapToGrid w:val="0"/>
        <w:spacing w:line="360" w:lineRule="auto"/>
        <w:ind w:leftChars="75" w:left="358" w:rightChars="-37" w:right="-89" w:hangingChars="74" w:hanging="178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(1)紙筆測驗及表單：學習單、習作作業、紙筆測驗、問卷、檢核表、</w:t>
      </w:r>
      <w:r>
        <w:rPr>
          <w:rFonts w:ascii="標楷體" w:eastAsia="標楷體" w:hAnsi="標楷體" w:hint="eastAsia"/>
          <w:color w:val="000000"/>
          <w:szCs w:val="27"/>
        </w:rPr>
        <w:t>評定量表或其他方式。</w:t>
      </w:r>
    </w:p>
    <w:p w:rsidR="00503479" w:rsidRDefault="00D30DD5" w:rsidP="00D30DD5">
      <w:pPr>
        <w:snapToGrid w:val="0"/>
        <w:spacing w:line="360" w:lineRule="auto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(2)實作評量：書面報告、口頭報告、聽力與口語溝通、實際操作、作品製作、展演、鑑賞、行為觀察或其他方式。</w:t>
      </w:r>
      <w:r w:rsidR="00503479">
        <w:rPr>
          <w:rFonts w:ascii="標楷體" w:eastAsia="標楷體" w:hAnsi="標楷體" w:hint="eastAsia"/>
          <w:sz w:val="28"/>
        </w:rPr>
        <w:t xml:space="preserve">                   </w:t>
      </w:r>
      <w:r w:rsidR="00503479" w:rsidRPr="00727908">
        <w:rPr>
          <w:rFonts w:ascii="標楷體" w:eastAsia="標楷體" w:hAnsi="標楷體" w:hint="eastAsia"/>
          <w:color w:val="000000"/>
          <w:szCs w:val="27"/>
        </w:rPr>
        <w:t xml:space="preserve"> </w:t>
      </w:r>
    </w:p>
    <w:p w:rsidR="00D30DD5" w:rsidRPr="002C67BF" w:rsidRDefault="00D30DD5" w:rsidP="00D30DD5">
      <w:pPr>
        <w:snapToGrid w:val="0"/>
        <w:spacing w:line="360" w:lineRule="auto"/>
        <w:ind w:leftChars="75" w:left="540" w:rightChars="-37" w:right="-89" w:hangingChars="150" w:hanging="360"/>
        <w:jc w:val="both"/>
        <w:rPr>
          <w:rFonts w:ascii="標楷體" w:eastAsia="標楷體" w:hAnsi="標楷體"/>
          <w:b/>
          <w:sz w:val="22"/>
          <w:szCs w:val="24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(3)檔案評量：系統性彙整之表單、測驗、表現評量與其他資料及相關紀錄，製成檔案，展現學生學習歷程及成果。</w:t>
      </w:r>
    </w:p>
    <w:p w:rsidR="00D30DD5" w:rsidRDefault="00D30DD5" w:rsidP="00D30DD5">
      <w:pPr>
        <w:jc w:val="center"/>
        <w:rPr>
          <w:rFonts w:ascii="標楷體" w:eastAsia="標楷體" w:hAnsi="標楷體"/>
          <w:sz w:val="28"/>
        </w:rPr>
      </w:pPr>
    </w:p>
    <w:p w:rsidR="00DB1701" w:rsidRDefault="00DB1701" w:rsidP="00DB1701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proofErr w:type="gramStart"/>
      <w:r w:rsidRPr="00172B17">
        <w:rPr>
          <w:rFonts w:ascii="標楷體" w:eastAsia="標楷體" w:hAnsi="標楷體" w:hint="eastAsia"/>
          <w:sz w:val="28"/>
        </w:rPr>
        <w:lastRenderedPageBreak/>
        <w:t>花蓮縣明廉國小</w:t>
      </w:r>
      <w:proofErr w:type="gramEnd"/>
      <w:r w:rsidR="008F1B47">
        <w:rPr>
          <w:rFonts w:ascii="標楷體" w:eastAsia="標楷體" w:hAnsi="標楷體" w:hint="eastAsia"/>
          <w:sz w:val="28"/>
        </w:rPr>
        <w:t>109學年</w:t>
      </w:r>
      <w:r w:rsidR="005558D6">
        <w:rPr>
          <w:rFonts w:ascii="標楷體" w:eastAsia="標楷體" w:hAnsi="標楷體" w:hint="eastAsia"/>
          <w:sz w:val="28"/>
        </w:rPr>
        <w:t>第___學</w:t>
      </w:r>
      <w:r w:rsidR="008F1B47">
        <w:rPr>
          <w:rFonts w:ascii="標楷體" w:eastAsia="標楷體" w:hAnsi="標楷體" w:hint="eastAsia"/>
          <w:sz w:val="28"/>
        </w:rPr>
        <w:t>期</w:t>
      </w:r>
      <w:r w:rsidRPr="00172B17">
        <w:rPr>
          <w:rFonts w:ascii="標楷體" w:eastAsia="標楷體" w:hAnsi="標楷體" w:hint="eastAsia"/>
          <w:sz w:val="28"/>
        </w:rPr>
        <w:t>____年___班</w:t>
      </w:r>
      <w:r w:rsidR="00F008BA">
        <w:rPr>
          <w:rFonts w:ascii="標楷體" w:eastAsia="標楷體" w:hAnsi="標楷體" w:hint="eastAsia"/>
          <w:sz w:val="28"/>
        </w:rPr>
        <w:t>學習</w:t>
      </w:r>
      <w:r>
        <w:rPr>
          <w:rFonts w:ascii="標楷體" w:eastAsia="標楷體" w:hAnsi="標楷體" w:hint="eastAsia"/>
          <w:sz w:val="28"/>
        </w:rPr>
        <w:t>領域</w:t>
      </w:r>
      <w:r w:rsidRPr="00172B17">
        <w:rPr>
          <w:rFonts w:ascii="標楷體" w:eastAsia="標楷體" w:hAnsi="標楷體" w:hint="eastAsia"/>
          <w:sz w:val="28"/>
        </w:rPr>
        <w:t>成績評量</w:t>
      </w:r>
      <w:r w:rsidR="00503479">
        <w:rPr>
          <w:rFonts w:ascii="標楷體" w:eastAsia="標楷體" w:hAnsi="標楷體" w:hint="eastAsia"/>
          <w:sz w:val="28"/>
        </w:rPr>
        <w:t>計畫</w:t>
      </w:r>
      <w:r w:rsidRPr="00172B17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中</w:t>
      </w:r>
      <w:r w:rsidR="00273550">
        <w:rPr>
          <w:rFonts w:ascii="標楷體" w:eastAsia="標楷體" w:hAnsi="標楷體" w:hint="eastAsia"/>
          <w:sz w:val="28"/>
        </w:rPr>
        <w:t>高</w:t>
      </w:r>
      <w:r w:rsidRPr="00172B17">
        <w:rPr>
          <w:rFonts w:ascii="標楷體" w:eastAsia="標楷體" w:hAnsi="標楷體" w:hint="eastAsia"/>
          <w:sz w:val="28"/>
        </w:rPr>
        <w:t>)</w:t>
      </w:r>
    </w:p>
    <w:p w:rsidR="00DB1701" w:rsidRPr="00172B17" w:rsidRDefault="00DB1701" w:rsidP="00DB1701">
      <w:pPr>
        <w:snapToGrid w:val="0"/>
        <w:jc w:val="center"/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87"/>
        <w:gridCol w:w="6740"/>
        <w:gridCol w:w="1666"/>
      </w:tblGrid>
      <w:tr w:rsidR="00DB1701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領    域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273550" w:rsidP="002735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評量方式及成績計算比例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DB1701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任課教師    </w:t>
            </w:r>
          </w:p>
        </w:tc>
      </w:tr>
      <w:tr w:rsidR="00D30DD5" w:rsidTr="004871EA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5558D6" w:rsidRDefault="00D30DD5" w:rsidP="004871EA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國語文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spacing w:val="-6"/>
                <w:sz w:val="22"/>
              </w:rPr>
            </w:pPr>
          </w:p>
        </w:tc>
      </w:tr>
      <w:tr w:rsidR="00D30DD5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5558D6" w:rsidRDefault="00D30DD5" w:rsidP="004871EA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英  語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D30DD5" w:rsidP="004871EA">
            <w:pPr>
              <w:jc w:val="both"/>
              <w:rPr>
                <w:rFonts w:ascii="標楷體" w:eastAsia="標楷體" w:hint="eastAsia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 w:rsidR="00140451">
              <w:rPr>
                <w:rFonts w:ascii="標楷體" w:eastAsia="標楷體" w:hint="eastAsia"/>
                <w:spacing w:val="-6"/>
                <w:sz w:val="22"/>
              </w:rPr>
              <w:t>）</w:t>
            </w:r>
          </w:p>
          <w:p w:rsidR="00140451" w:rsidRDefault="00140451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spacing w:val="-6"/>
                <w:sz w:val="22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5558D6" w:rsidRDefault="00DB1701" w:rsidP="004871EA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本土語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7B6DB0" w:rsidP="004871EA">
            <w:pPr>
              <w:jc w:val="both"/>
              <w:rPr>
                <w:rFonts w:ascii="標楷體" w:eastAsia="標楷體" w:hint="eastAsia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 w:rsidR="00140451">
              <w:rPr>
                <w:rFonts w:ascii="標楷體" w:eastAsia="標楷體" w:hint="eastAsia"/>
                <w:spacing w:val="-6"/>
                <w:sz w:val="22"/>
              </w:rPr>
              <w:t>）</w:t>
            </w:r>
          </w:p>
          <w:p w:rsidR="00140451" w:rsidRDefault="00140451" w:rsidP="004871EA">
            <w:pPr>
              <w:jc w:val="both"/>
              <w:rPr>
                <w:rFonts w:ascii="標楷體" w:eastAsia="標楷體" w:hint="eastAsia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族語平時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：</w:t>
            </w:r>
            <w:r>
              <w:rPr>
                <w:rFonts w:ascii="標楷體" w:eastAsia="標楷體" w:hint="eastAsia"/>
                <w:spacing w:val="-6"/>
                <w:sz w:val="22"/>
              </w:rPr>
              <w:t>學習單15%、聽力與口語溝通15%、檔案評量20%</w:t>
            </w:r>
          </w:p>
          <w:p w:rsidR="00140451" w:rsidRDefault="0014045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客語平時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：</w:t>
            </w:r>
            <w:r>
              <w:rPr>
                <w:rFonts w:ascii="標楷體" w:eastAsia="標楷體" w:hint="eastAsia"/>
                <w:spacing w:val="-6"/>
                <w:sz w:val="22"/>
              </w:rPr>
              <w:t>學習單25%、聽力與口語溝通25%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Pr="00B74D0E" w:rsidRDefault="00DB1701" w:rsidP="004871E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74D0E">
              <w:rPr>
                <w:rFonts w:ascii="標楷體" w:eastAsia="標楷體" w:hAnsi="標楷體" w:hint="eastAsia"/>
                <w:sz w:val="20"/>
                <w:szCs w:val="24"/>
              </w:rPr>
              <w:t>依學生選課</w:t>
            </w:r>
            <w:proofErr w:type="gramStart"/>
            <w:r w:rsidRPr="00B74D0E">
              <w:rPr>
                <w:rFonts w:ascii="標楷體" w:eastAsia="標楷體" w:hAnsi="標楷體" w:hint="eastAsia"/>
                <w:sz w:val="20"/>
                <w:szCs w:val="24"/>
              </w:rPr>
              <w:t>組別編班</w:t>
            </w:r>
            <w:proofErr w:type="gramEnd"/>
          </w:p>
        </w:tc>
      </w:tr>
      <w:tr w:rsidR="00D30DD5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</w:rPr>
            </w:pPr>
          </w:p>
        </w:tc>
      </w:tr>
      <w:tr w:rsidR="00D30DD5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5" w:rsidRDefault="00D30DD5" w:rsidP="00D30DD5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 w:rsidRPr="00833E8B">
              <w:rPr>
                <w:rFonts w:ascii="標楷體" w:eastAsia="標楷體" w:hAnsi="標楷體" w:hint="eastAsia"/>
                <w:sz w:val="20"/>
              </w:rPr>
              <w:t>自然生活科技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</w:rPr>
            </w:pPr>
          </w:p>
        </w:tc>
      </w:tr>
      <w:tr w:rsidR="00D30DD5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D6" w:rsidRPr="005558D6" w:rsidRDefault="00DB1701" w:rsidP="005558D6">
            <w:pPr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藝</w:t>
            </w:r>
          </w:p>
          <w:p w:rsidR="005558D6" w:rsidRPr="005558D6" w:rsidRDefault="00DB1701" w:rsidP="005558D6">
            <w:pPr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術</w:t>
            </w:r>
          </w:p>
          <w:p w:rsidR="005558D6" w:rsidRPr="005558D6" w:rsidRDefault="00DB1701" w:rsidP="005558D6">
            <w:pPr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與</w:t>
            </w:r>
          </w:p>
          <w:p w:rsidR="005558D6" w:rsidRPr="005558D6" w:rsidRDefault="00DB1701" w:rsidP="005558D6">
            <w:pPr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人</w:t>
            </w:r>
          </w:p>
          <w:p w:rsidR="00DB1701" w:rsidRDefault="00DB1701" w:rsidP="005558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273550" w:rsidRDefault="00DB1701" w:rsidP="004871E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73550">
              <w:rPr>
                <w:rFonts w:ascii="標楷體" w:eastAsia="標楷體" w:hAnsi="標楷體" w:hint="eastAsia"/>
                <w:sz w:val="22"/>
              </w:rPr>
              <w:t>音樂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7B6DB0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273550" w:rsidRDefault="00DB1701" w:rsidP="004871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73550">
              <w:rPr>
                <w:rFonts w:ascii="標楷體" w:eastAsia="標楷體" w:hAnsi="標楷體" w:hint="eastAsia"/>
                <w:color w:val="000000"/>
                <w:sz w:val="22"/>
              </w:rPr>
              <w:t>視覺藝術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7B6DB0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273550" w:rsidRDefault="00DB1701" w:rsidP="004871E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273550">
              <w:rPr>
                <w:rFonts w:ascii="標楷體" w:eastAsia="標楷體" w:hAnsi="標楷體" w:hint="eastAsia"/>
                <w:color w:val="000000"/>
                <w:sz w:val="22"/>
              </w:rPr>
              <w:t>表演藝術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7B6DB0" w:rsidP="004871EA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D6" w:rsidRPr="005558D6" w:rsidRDefault="00DB1701" w:rsidP="004871EA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5558D6">
              <w:rPr>
                <w:rFonts w:ascii="標楷體" w:eastAsia="標楷體" w:hAnsi="標楷體" w:hint="eastAsia"/>
                <w:szCs w:val="18"/>
              </w:rPr>
              <w:t>健康</w:t>
            </w:r>
          </w:p>
          <w:p w:rsidR="005558D6" w:rsidRPr="005558D6" w:rsidRDefault="00DB1701" w:rsidP="004871EA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5558D6">
              <w:rPr>
                <w:rFonts w:ascii="標楷體" w:eastAsia="標楷體" w:hAnsi="標楷體" w:hint="eastAsia"/>
                <w:szCs w:val="18"/>
              </w:rPr>
              <w:t>與</w:t>
            </w:r>
          </w:p>
          <w:p w:rsidR="00DB1701" w:rsidRPr="00273550" w:rsidRDefault="00DB1701" w:rsidP="004871EA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558D6">
              <w:rPr>
                <w:rFonts w:ascii="標楷體" w:eastAsia="標楷體" w:hAnsi="標楷體" w:hint="eastAsia"/>
                <w:szCs w:val="18"/>
              </w:rPr>
              <w:t>體育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273550" w:rsidRDefault="00DB1701" w:rsidP="004871E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273550">
              <w:rPr>
                <w:rFonts w:ascii="標楷體" w:eastAsia="標楷體" w:hAnsi="標楷體" w:hint="eastAsia"/>
                <w:sz w:val="22"/>
              </w:rPr>
              <w:t>健康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7B6DB0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273550" w:rsidRDefault="00DB1701" w:rsidP="004871E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273550">
              <w:rPr>
                <w:rFonts w:ascii="標楷體" w:eastAsia="標楷體" w:hAnsi="標楷體" w:hint="eastAsia"/>
                <w:sz w:val="22"/>
              </w:rPr>
              <w:t>體育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7B6DB0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1701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7B6DB0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B1701" w:rsidRPr="00764451" w:rsidRDefault="00DB1701" w:rsidP="00DB1701">
      <w:pPr>
        <w:snapToGrid w:val="0"/>
        <w:spacing w:line="360" w:lineRule="auto"/>
        <w:ind w:leftChars="-74" w:left="1437" w:rightChars="-37" w:right="-89" w:hangingChars="673" w:hanging="1615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評量方式說明：</w:t>
      </w:r>
    </w:p>
    <w:p w:rsidR="00DB1701" w:rsidRPr="00764451" w:rsidRDefault="00DB1701" w:rsidP="00DB1701">
      <w:pPr>
        <w:snapToGrid w:val="0"/>
        <w:spacing w:line="360" w:lineRule="auto"/>
        <w:ind w:leftChars="75" w:left="420" w:rightChars="-37" w:right="-89" w:hangingChars="100" w:hanging="240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1.</w:t>
      </w:r>
      <w:r w:rsidR="007B6DB0">
        <w:rPr>
          <w:rFonts w:ascii="標楷體" w:eastAsia="標楷體" w:hAnsi="標楷體" w:hint="eastAsia"/>
          <w:szCs w:val="24"/>
        </w:rPr>
        <w:t>各領域成績計算</w:t>
      </w:r>
      <w:r w:rsidR="007B6DB0" w:rsidRPr="00764451">
        <w:rPr>
          <w:rFonts w:ascii="標楷體" w:eastAsia="標楷體" w:hAnsi="標楷體" w:hint="eastAsia"/>
          <w:szCs w:val="24"/>
        </w:rPr>
        <w:t>為定期評量與平時評量各</w:t>
      </w:r>
      <w:proofErr w:type="gramStart"/>
      <w:r w:rsidR="007B6DB0" w:rsidRPr="00764451">
        <w:rPr>
          <w:rFonts w:ascii="標楷體" w:eastAsia="標楷體" w:hAnsi="標楷體" w:hint="eastAsia"/>
          <w:szCs w:val="24"/>
        </w:rPr>
        <w:t>佔</w:t>
      </w:r>
      <w:proofErr w:type="gramEnd"/>
      <w:r w:rsidR="007B6DB0" w:rsidRPr="00764451">
        <w:rPr>
          <w:rFonts w:ascii="標楷體" w:eastAsia="標楷體" w:hAnsi="標楷體" w:hint="eastAsia"/>
          <w:szCs w:val="24"/>
        </w:rPr>
        <w:t>50％。</w:t>
      </w:r>
    </w:p>
    <w:p w:rsidR="00DB1701" w:rsidRPr="00764451" w:rsidRDefault="00DB1701" w:rsidP="00DB1701">
      <w:pPr>
        <w:snapToGrid w:val="0"/>
        <w:spacing w:line="360" w:lineRule="auto"/>
        <w:ind w:leftChars="75" w:left="358" w:rightChars="-37" w:right="-89" w:hangingChars="74" w:hanging="178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2.平時評量方式：</w:t>
      </w:r>
    </w:p>
    <w:p w:rsidR="00DB1701" w:rsidRDefault="00DB1701" w:rsidP="00DB1701">
      <w:pPr>
        <w:snapToGrid w:val="0"/>
        <w:spacing w:line="360" w:lineRule="auto"/>
        <w:ind w:leftChars="75" w:left="358" w:rightChars="-37" w:right="-89" w:hangingChars="74" w:hanging="178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(1)紙筆測驗及表單：學習單、習作作業、紙筆測驗、問卷、檢核表、</w:t>
      </w:r>
      <w:r>
        <w:rPr>
          <w:rFonts w:ascii="標楷體" w:eastAsia="標楷體" w:hAnsi="標楷體" w:hint="eastAsia"/>
          <w:color w:val="000000"/>
          <w:szCs w:val="27"/>
        </w:rPr>
        <w:t>評定量表或其他方式。</w:t>
      </w:r>
    </w:p>
    <w:p w:rsidR="00DB1701" w:rsidRDefault="00DB1701" w:rsidP="00DB1701">
      <w:pPr>
        <w:snapToGrid w:val="0"/>
        <w:spacing w:line="360" w:lineRule="auto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(2)實作評量：書面報告、口頭報告、聽力與口語溝通、實際操作、作品製作、展演、鑑賞、行為觀察或其他方式。</w:t>
      </w:r>
    </w:p>
    <w:p w:rsidR="00DB1701" w:rsidRPr="002C67BF" w:rsidRDefault="00DB1701" w:rsidP="00DB1701">
      <w:pPr>
        <w:snapToGrid w:val="0"/>
        <w:spacing w:line="360" w:lineRule="auto"/>
        <w:ind w:leftChars="75" w:left="540" w:rightChars="-37" w:right="-89" w:hangingChars="150" w:hanging="360"/>
        <w:jc w:val="both"/>
        <w:rPr>
          <w:rFonts w:ascii="標楷體" w:eastAsia="標楷體" w:hAnsi="標楷體"/>
          <w:b/>
          <w:sz w:val="22"/>
          <w:szCs w:val="24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(3)檔案評量：系統性彙整之表單、測驗、表現評量與其他資料及相關紀錄，製成檔案，展現學生學習歷程及成果。</w:t>
      </w:r>
    </w:p>
    <w:sectPr w:rsidR="00DB1701" w:rsidRPr="002C67BF" w:rsidSect="00172B1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17"/>
    <w:rsid w:val="000615A9"/>
    <w:rsid w:val="00140451"/>
    <w:rsid w:val="00172B17"/>
    <w:rsid w:val="00273550"/>
    <w:rsid w:val="002B0298"/>
    <w:rsid w:val="002C67BF"/>
    <w:rsid w:val="00466117"/>
    <w:rsid w:val="00503479"/>
    <w:rsid w:val="005558D6"/>
    <w:rsid w:val="006312AD"/>
    <w:rsid w:val="006D2022"/>
    <w:rsid w:val="006E6A32"/>
    <w:rsid w:val="00727908"/>
    <w:rsid w:val="00764451"/>
    <w:rsid w:val="007B6DB0"/>
    <w:rsid w:val="00833E8B"/>
    <w:rsid w:val="008F1B47"/>
    <w:rsid w:val="00B74D0E"/>
    <w:rsid w:val="00D30DD5"/>
    <w:rsid w:val="00DB1701"/>
    <w:rsid w:val="00E9063F"/>
    <w:rsid w:val="00F008BA"/>
    <w:rsid w:val="00F8037C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172B17"/>
    <w:rPr>
      <w:vanish/>
      <w:webHidden w:val="0"/>
      <w:color w:val="FF000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172B17"/>
    <w:rPr>
      <w:vanish/>
      <w:webHidden w:val="0"/>
      <w:color w:val="FF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BFA2-892F-4E6E-B06D-CC4256A9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18</cp:revision>
  <dcterms:created xsi:type="dcterms:W3CDTF">2020-08-16T22:15:00Z</dcterms:created>
  <dcterms:modified xsi:type="dcterms:W3CDTF">2020-09-01T00:57:00Z</dcterms:modified>
</cp:coreProperties>
</file>