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val="false"/>
          <w:b w:val="false"/>
          <w:bCs w:val="false"/>
        </w:rPr>
      </w:pPr>
      <w:bookmarkStart w:id="0" w:name="OLE_LINK1"/>
      <w:r>
        <w:rPr>
          <w:rFonts w:ascii="標楷體" w:hAnsi="標楷體" w:cs="標楷體" w:eastAsia="標楷體"/>
          <w:b w:val="false"/>
          <w:bCs w:val="false"/>
          <w:color w:val="000000"/>
          <w:sz w:val="40"/>
          <w:szCs w:val="30"/>
        </w:rPr>
        <w:t>公立各級學校專任教師兼職處理原則</w:t>
      </w:r>
      <w:bookmarkEnd w:id="0"/>
      <w:r>
        <w:rPr>
          <w:rFonts w:ascii="標楷體" w:hAnsi="標楷體" w:cs="標楷體" w:eastAsia="標楷體"/>
          <w:b w:val="false"/>
          <w:bCs w:val="false"/>
          <w:color w:val="000000"/>
          <w:sz w:val="40"/>
          <w:szCs w:val="30"/>
        </w:rPr>
        <w:t>修正規定</w:t>
      </w:r>
    </w:p>
    <w:p>
      <w:pPr>
        <w:pStyle w:val="Style22"/>
        <w:numPr>
          <w:ilvl w:val="0"/>
          <w:numId w:val="1"/>
        </w:numPr>
        <w:spacing w:lineRule="exact" w:line="440"/>
        <w:ind w:left="560" w:right="0" w:hanging="560"/>
        <w:jc w:val="distribute"/>
        <w:rPr/>
      </w:pPr>
      <w:r>
        <w:rPr>
          <w:rFonts w:ascii="標楷體" w:hAnsi="標楷體" w:cs="標楷體" w:eastAsia="標楷體"/>
          <w:color w:val="000000"/>
          <w:sz w:val="28"/>
          <w:szCs w:val="28"/>
        </w:rPr>
        <w:t>教育部</w:t>
      </w:r>
      <w:r>
        <w:rPr>
          <w:rFonts w:ascii="標楷體" w:hAnsi="標楷體" w:cs="標楷體" w:eastAsia="標楷體"/>
          <w:color w:val="000000"/>
          <w:sz w:val="28"/>
          <w:szCs w:val="28"/>
        </w:rPr>
        <w:t>（以下簡稱本部）</w:t>
      </w:r>
      <w:r>
        <w:rPr>
          <w:rFonts w:ascii="標楷體" w:hAnsi="標楷體" w:cs="標楷體" w:eastAsia="標楷體"/>
          <w:color w:val="000000"/>
          <w:sz w:val="28"/>
          <w:szCs w:val="28"/>
        </w:rPr>
        <w:t xml:space="preserve">為規範公立各級學校編制內專任教師 </w:t>
      </w:r>
      <w:r>
        <w:rPr>
          <w:rFonts w:eastAsia="標楷體" w:cs="標楷體" w:ascii="標楷體" w:hAnsi="標楷體"/>
          <w:color w:val="000000"/>
          <w:sz w:val="28"/>
          <w:szCs w:val="28"/>
        </w:rPr>
        <w:t>(</w:t>
      </w:r>
      <w:r>
        <w:rPr>
          <w:rFonts w:ascii="標楷體" w:hAnsi="標楷體" w:cs="標楷體" w:eastAsia="標楷體"/>
          <w:color w:val="000000"/>
          <w:sz w:val="28"/>
          <w:szCs w:val="28"/>
        </w:rPr>
        <w:t>以下簡稱教師</w:t>
      </w:r>
      <w:r>
        <w:rPr>
          <w:rFonts w:eastAsia="標楷體" w:cs="標楷體" w:ascii="標楷體" w:hAnsi="標楷體"/>
          <w:color w:val="000000"/>
          <w:sz w:val="28"/>
          <w:szCs w:val="28"/>
        </w:rPr>
        <w:t>)</w:t>
      </w:r>
      <w:r>
        <w:rPr>
          <w:rFonts w:ascii="標楷體" w:hAnsi="標楷體" w:cs="標楷體" w:eastAsia="標楷體"/>
          <w:color w:val="000000"/>
          <w:sz w:val="28"/>
          <w:szCs w:val="28"/>
        </w:rPr>
        <w:t>之兼職，特訂定本原則。</w:t>
      </w:r>
    </w:p>
    <w:p>
      <w:pPr>
        <w:pStyle w:val="Style22"/>
        <w:numPr>
          <w:ilvl w:val="0"/>
          <w:numId w:val="1"/>
        </w:numPr>
        <w:spacing w:lineRule="exact" w:line="440"/>
        <w:ind w:left="560" w:right="0" w:hanging="56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在服務學校以外之機關（構）、學校、法人、事業或團體兼職，依本原則規定辦理。但兼任行政職務之教師，其經營商業或投資營利事業、兼職範圍及許可程序，依公務員服務法規定辦理，不適用第三點至第六點及第十點規定。</w:t>
      </w:r>
    </w:p>
    <w:p>
      <w:pPr>
        <w:pStyle w:val="Style22"/>
        <w:numPr>
          <w:ilvl w:val="0"/>
          <w:numId w:val="1"/>
        </w:numPr>
        <w:spacing w:lineRule="exact" w:line="440"/>
        <w:ind w:left="560" w:right="0" w:hanging="56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教師不得經營商業或投資營利事業。但投資股份有限公司為股東，兩合公司為有限責任股東，或有限公司為非執行業務股東，而其所持有股份總額未超過其所投資公司股本總額百分之十者，不在此限。</w:t>
      </w:r>
    </w:p>
    <w:p>
      <w:pPr>
        <w:pStyle w:val="Style22"/>
        <w:spacing w:lineRule="exact" w:line="440"/>
        <w:ind w:left="561" w:right="0" w:firstLine="560"/>
        <w:jc w:val="distribute"/>
        <w:rPr>
          <w:rFonts w:ascii="標楷體" w:hAnsi="標楷體" w:eastAsia="標楷體" w:cs="標楷體"/>
          <w:sz w:val="28"/>
          <w:szCs w:val="28"/>
        </w:rPr>
      </w:pPr>
      <w:r>
        <w:rPr>
          <w:rFonts w:ascii="標楷體" w:hAnsi="標楷體" w:cs="標楷體" w:eastAsia="標楷體"/>
          <w:sz w:val="28"/>
          <w:szCs w:val="28"/>
        </w:rPr>
        <w:t>教師持有之股份，符合下列各款規定之一者，其持股比例不受前項但書規定之限制：</w:t>
      </w:r>
    </w:p>
    <w:p>
      <w:pPr>
        <w:pStyle w:val="Style22"/>
        <w:numPr>
          <w:ilvl w:val="0"/>
          <w:numId w:val="13"/>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公立專科以上學校衍生新創公司之股份。</w:t>
      </w:r>
    </w:p>
    <w:p>
      <w:pPr>
        <w:pStyle w:val="Style22"/>
        <w:numPr>
          <w:ilvl w:val="0"/>
          <w:numId w:val="13"/>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教師依從事研究人員兼職與技術作價投資事業管理辦法，因其研發成果貢獻而分得持有公司設立時之股份，或技術作價增資之股份，併計股票股利之持股，不得超過該公司股份總數百分之四十。但為新創公司之股份者，不在此限。</w:t>
      </w:r>
    </w:p>
    <w:p>
      <w:pPr>
        <w:pStyle w:val="Style22"/>
        <w:numPr>
          <w:ilvl w:val="0"/>
          <w:numId w:val="13"/>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教師依第五點第八項兼任新創生技新藥公司董事，經學校同意，持有該公司設立時之股份。</w:t>
      </w:r>
    </w:p>
    <w:p>
      <w:pPr>
        <w:pStyle w:val="ListParagraph"/>
        <w:numPr>
          <w:ilvl w:val="0"/>
          <w:numId w:val="1"/>
        </w:numPr>
        <w:spacing w:lineRule="exact" w:line="440"/>
        <w:ind w:left="560" w:right="0" w:hanging="56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教師得於國內兼職之範圍如下：</w:t>
      </w:r>
    </w:p>
    <w:p>
      <w:pPr>
        <w:pStyle w:val="Style22"/>
        <w:numPr>
          <w:ilvl w:val="0"/>
          <w:numId w:val="1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政府機關（構）、公立學校及已立案之私立學校。</w:t>
      </w:r>
    </w:p>
    <w:p>
      <w:pPr>
        <w:pStyle w:val="Style22"/>
        <w:numPr>
          <w:ilvl w:val="0"/>
          <w:numId w:val="1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行政法人。</w:t>
      </w:r>
    </w:p>
    <w:p>
      <w:pPr>
        <w:pStyle w:val="Style22"/>
        <w:numPr>
          <w:ilvl w:val="0"/>
          <w:numId w:val="1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非以營利為目的之事業或團體：</w:t>
      </w:r>
    </w:p>
    <w:p>
      <w:pPr>
        <w:pStyle w:val="Style22"/>
        <w:numPr>
          <w:ilvl w:val="0"/>
          <w:numId w:val="3"/>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公營、私營或公私合營之事業。</w:t>
      </w:r>
    </w:p>
    <w:p>
      <w:pPr>
        <w:pStyle w:val="Style22"/>
        <w:numPr>
          <w:ilvl w:val="0"/>
          <w:numId w:val="3"/>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依法向主管機關登記或立案成立之法人、事業或團體。</w:t>
      </w:r>
    </w:p>
    <w:p>
      <w:pPr>
        <w:pStyle w:val="Style22"/>
        <w:numPr>
          <w:ilvl w:val="0"/>
          <w:numId w:val="3"/>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國際性學術或專業組織。</w:t>
      </w:r>
    </w:p>
    <w:p>
      <w:pPr>
        <w:pStyle w:val="Style22"/>
        <w:numPr>
          <w:ilvl w:val="0"/>
          <w:numId w:val="1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營利事業機構或團體：</w:t>
      </w:r>
    </w:p>
    <w:p>
      <w:pPr>
        <w:pStyle w:val="Style22"/>
        <w:numPr>
          <w:ilvl w:val="0"/>
          <w:numId w:val="12"/>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與學校建立產學合作關係者。</w:t>
      </w:r>
    </w:p>
    <w:p>
      <w:pPr>
        <w:pStyle w:val="Style22"/>
        <w:numPr>
          <w:ilvl w:val="0"/>
          <w:numId w:val="12"/>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政府機關（構）或學校持有其股份者。</w:t>
      </w:r>
    </w:p>
    <w:p>
      <w:pPr>
        <w:pStyle w:val="Style22"/>
        <w:numPr>
          <w:ilvl w:val="0"/>
          <w:numId w:val="12"/>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承接政府機關（構）研究計畫者。</w:t>
      </w:r>
    </w:p>
    <w:p>
      <w:pPr>
        <w:pStyle w:val="Style22"/>
        <w:numPr>
          <w:ilvl w:val="0"/>
          <w:numId w:val="12"/>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公營事業機構之任務編組或臨時性組織。</w:t>
      </w:r>
    </w:p>
    <w:p>
      <w:pPr>
        <w:pStyle w:val="Style22"/>
        <w:numPr>
          <w:ilvl w:val="0"/>
          <w:numId w:val="12"/>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經學校認定具一定學術地位之學術期刊出版組織。</w:t>
      </w:r>
    </w:p>
    <w:p>
      <w:pPr>
        <w:pStyle w:val="Style22"/>
        <w:numPr>
          <w:ilvl w:val="0"/>
          <w:numId w:val="12"/>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依本部訂定之課程綱要編輯教科用書、教師用書或教師手冊之出版組織。</w:t>
      </w:r>
    </w:p>
    <w:p>
      <w:pPr>
        <w:pStyle w:val="Style22"/>
        <w:numPr>
          <w:ilvl w:val="0"/>
          <w:numId w:val="1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新創生技新藥公司。</w:t>
      </w:r>
    </w:p>
    <w:p>
      <w:pPr>
        <w:pStyle w:val="Style22"/>
        <w:numPr>
          <w:ilvl w:val="0"/>
          <w:numId w:val="1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從事研究人員兼職與技術作價投資事業管理辦法所定企業、機構、團體或新創公司。</w:t>
      </w:r>
    </w:p>
    <w:p>
      <w:pPr>
        <w:pStyle w:val="Normal"/>
        <w:spacing w:lineRule="exact" w:line="440"/>
        <w:ind w:left="561" w:right="0" w:firstLine="56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教師得於國外、香港或澳門地區兼職之範圍如下：</w:t>
      </w:r>
    </w:p>
    <w:p>
      <w:pPr>
        <w:pStyle w:val="Style22"/>
        <w:numPr>
          <w:ilvl w:val="0"/>
          <w:numId w:val="4"/>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經當地主管機關設立或立案之學校。</w:t>
      </w:r>
    </w:p>
    <w:p>
      <w:pPr>
        <w:pStyle w:val="Style22"/>
        <w:numPr>
          <w:ilvl w:val="0"/>
          <w:numId w:val="4"/>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國際性學術或專業組織。</w:t>
      </w:r>
    </w:p>
    <w:p>
      <w:pPr>
        <w:pStyle w:val="Style22"/>
        <w:numPr>
          <w:ilvl w:val="0"/>
          <w:numId w:val="4"/>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經學校認定具一定學術地位之學術期刊出版組織。</w:t>
      </w:r>
    </w:p>
    <w:p>
      <w:pPr>
        <w:pStyle w:val="Style22"/>
        <w:numPr>
          <w:ilvl w:val="0"/>
          <w:numId w:val="4"/>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與學校建立產學合作關係並已於我國第一上市（櫃）之外國公司或經董事會、股東會決議規劃於我國申請第一上市（櫃）之外國公司。</w:t>
      </w:r>
    </w:p>
    <w:p>
      <w:pPr>
        <w:pStyle w:val="Style22"/>
        <w:numPr>
          <w:ilvl w:val="0"/>
          <w:numId w:val="4"/>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從事研究人員兼職與技術作價投資事業管理辦法所定企業、機構、團體。</w:t>
      </w:r>
    </w:p>
    <w:p>
      <w:pPr>
        <w:pStyle w:val="Style22"/>
        <w:spacing w:lineRule="exact" w:line="440"/>
        <w:ind w:left="561" w:right="0" w:firstLine="560"/>
        <w:jc w:val="distribute"/>
        <w:rPr>
          <w:rFonts w:ascii="標楷體" w:hAnsi="標楷體" w:eastAsia="標楷體" w:cs="標楷體"/>
          <w:sz w:val="28"/>
          <w:szCs w:val="28"/>
        </w:rPr>
      </w:pPr>
      <w:r>
        <w:rPr>
          <w:rFonts w:ascii="標楷體" w:hAnsi="標楷體" w:cs="標楷體" w:eastAsia="標楷體"/>
          <w:sz w:val="28"/>
          <w:szCs w:val="28"/>
        </w:rPr>
        <w:t>第一項第四款第一目至第五目、第五款、第六款及前項第三款至第五款兼職，以專科以上學校教師為限。</w:t>
      </w:r>
    </w:p>
    <w:p>
      <w:pPr>
        <w:pStyle w:val="Style22"/>
        <w:numPr>
          <w:ilvl w:val="0"/>
          <w:numId w:val="1"/>
        </w:numPr>
        <w:spacing w:lineRule="exact" w:line="440"/>
        <w:ind w:left="560" w:right="0" w:hanging="56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教師至前點所定兼職機關（構）、學校、法人、事業或團體兼任之職務，應與教學或研究專長領域相關，且不得兼任下列職務：</w:t>
      </w:r>
    </w:p>
    <w:p>
      <w:pPr>
        <w:pStyle w:val="Normal"/>
        <w:numPr>
          <w:ilvl w:val="0"/>
          <w:numId w:val="6"/>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律師、會計師、建築師、技師等專業法律規範之職務。</w:t>
      </w:r>
      <w:r>
        <w:rPr>
          <w:rFonts w:ascii="標楷體" w:hAnsi="標楷體" w:cs="標楷體" w:eastAsia="標楷體"/>
          <w:color w:val="000000"/>
          <w:sz w:val="28"/>
          <w:szCs w:val="28"/>
        </w:rPr>
        <w:t>但於下班時間因從事或參與社會公益性質之事務而依各該專業法規辦理相關事宜者，不在此限。</w:t>
      </w:r>
    </w:p>
    <w:p>
      <w:pPr>
        <w:pStyle w:val="Style22"/>
        <w:numPr>
          <w:ilvl w:val="0"/>
          <w:numId w:val="6"/>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私立學校之董事長及編制內行政職務。</w:t>
      </w:r>
    </w:p>
    <w:p>
      <w:pPr>
        <w:pStyle w:val="Style22"/>
        <w:numPr>
          <w:ilvl w:val="0"/>
          <w:numId w:val="6"/>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香港或澳門地區主管機關設立或立案學校之職務，有損害我國國格、國家安全之虞者。</w:t>
      </w:r>
    </w:p>
    <w:p>
      <w:pPr>
        <w:pStyle w:val="ListParagraph"/>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教師至前點第一項第四款第一目所定營利事業機構或團體及第二項第四款所定外國公司兼任董事、監察人或獨立董事，除應符合前項規定外，並應符合下列各款規定之一：</w:t>
      </w:r>
    </w:p>
    <w:p>
      <w:pPr>
        <w:pStyle w:val="Style22"/>
        <w:numPr>
          <w:ilvl w:val="0"/>
          <w:numId w:val="11"/>
        </w:numPr>
        <w:spacing w:lineRule="exact" w:line="440"/>
        <w:ind w:left="1160" w:right="0" w:hanging="560"/>
        <w:jc w:val="distribute"/>
        <w:rPr>
          <w:rFonts w:ascii="標楷體" w:hAnsi="標楷體" w:eastAsia="標楷體" w:cs="標楷體"/>
          <w:sz w:val="28"/>
          <w:szCs w:val="28"/>
        </w:rPr>
      </w:pPr>
      <w:r>
        <w:rPr>
          <w:rFonts w:ascii="標楷體" w:hAnsi="標楷體" w:cs="標楷體" w:eastAsia="標楷體"/>
          <w:sz w:val="28"/>
          <w:szCs w:val="28"/>
        </w:rPr>
        <w:t>依證券交易法或期貨交易法規定，由主管機關指派，或由董事會遴選，經主管機關核定之非股東董事或非股東監察人。</w:t>
      </w:r>
    </w:p>
    <w:p>
      <w:pPr>
        <w:pStyle w:val="Style22"/>
        <w:numPr>
          <w:ilvl w:val="0"/>
          <w:numId w:val="11"/>
        </w:numPr>
        <w:spacing w:lineRule="exact" w:line="440"/>
        <w:ind w:left="1160" w:right="0" w:hanging="560"/>
        <w:jc w:val="distribute"/>
        <w:rPr>
          <w:rFonts w:ascii="標楷體" w:hAnsi="標楷體" w:eastAsia="標楷體" w:cs="標楷體"/>
          <w:sz w:val="28"/>
          <w:szCs w:val="28"/>
        </w:rPr>
      </w:pPr>
      <w:r>
        <w:rPr>
          <w:rFonts w:ascii="標楷體" w:hAnsi="標楷體" w:cs="標楷體" w:eastAsia="標楷體"/>
          <w:sz w:val="28"/>
          <w:szCs w:val="28"/>
        </w:rPr>
        <w:t>國營事業、已上市（櫃）公司或經董事會、股東會決議規劃申請上市（櫃）之未上市（櫃）公開發行公司之獨立董事。</w:t>
      </w:r>
    </w:p>
    <w:p>
      <w:pPr>
        <w:pStyle w:val="Style22"/>
        <w:numPr>
          <w:ilvl w:val="0"/>
          <w:numId w:val="11"/>
        </w:numPr>
        <w:spacing w:lineRule="exact" w:line="440"/>
        <w:ind w:left="1160" w:right="0" w:hanging="560"/>
        <w:jc w:val="distribute"/>
        <w:rPr>
          <w:rFonts w:ascii="標楷體" w:hAnsi="標楷體" w:eastAsia="標楷體" w:cs="標楷體"/>
          <w:sz w:val="28"/>
          <w:szCs w:val="28"/>
        </w:rPr>
      </w:pPr>
      <w:r>
        <w:rPr>
          <w:rFonts w:ascii="標楷體" w:hAnsi="標楷體" w:cs="標楷體" w:eastAsia="標楷體"/>
          <w:sz w:val="28"/>
          <w:szCs w:val="28"/>
        </w:rPr>
        <w:t>金融控股公司百分之百持有之銀行、票券、保險及綜合證券商等子公司之獨立董事。</w:t>
      </w:r>
    </w:p>
    <w:p>
      <w:pPr>
        <w:pStyle w:val="Style22"/>
        <w:numPr>
          <w:ilvl w:val="0"/>
          <w:numId w:val="11"/>
        </w:numPr>
        <w:spacing w:lineRule="exact" w:line="440"/>
        <w:ind w:left="1160" w:right="0" w:hanging="560"/>
        <w:jc w:val="distribute"/>
        <w:rPr>
          <w:rFonts w:ascii="標楷體" w:hAnsi="標楷體" w:eastAsia="標楷體" w:cs="標楷體"/>
          <w:sz w:val="28"/>
          <w:szCs w:val="28"/>
        </w:rPr>
      </w:pPr>
      <w:r>
        <w:rPr>
          <w:rFonts w:ascii="標楷體" w:hAnsi="標楷體" w:cs="標楷體" w:eastAsia="標楷體"/>
          <w:sz w:val="28"/>
          <w:szCs w:val="28"/>
        </w:rPr>
        <w:t>已於我國第一上市</w:t>
      </w:r>
      <w:r>
        <w:rPr>
          <w:rFonts w:eastAsia="標楷體" w:cs="標楷體" w:ascii="標楷體" w:hAnsi="標楷體"/>
          <w:sz w:val="28"/>
          <w:szCs w:val="28"/>
        </w:rPr>
        <w:t>(</w:t>
      </w:r>
      <w:r>
        <w:rPr>
          <w:rFonts w:ascii="標楷體" w:hAnsi="標楷體" w:cs="標楷體" w:eastAsia="標楷體"/>
          <w:sz w:val="28"/>
          <w:szCs w:val="28"/>
        </w:rPr>
        <w:t>櫃</w:t>
      </w:r>
      <w:r>
        <w:rPr>
          <w:rFonts w:eastAsia="標楷體" w:cs="標楷體" w:ascii="標楷體" w:hAnsi="標楷體"/>
          <w:sz w:val="28"/>
          <w:szCs w:val="28"/>
        </w:rPr>
        <w:t>)</w:t>
      </w:r>
      <w:r>
        <w:rPr>
          <w:rFonts w:ascii="標楷體" w:hAnsi="標楷體" w:cs="標楷體" w:eastAsia="標楷體"/>
          <w:sz w:val="28"/>
          <w:szCs w:val="28"/>
        </w:rPr>
        <w:t>之外國公司或經董事會、股東會決議規劃於我國申請第一上市</w:t>
      </w:r>
      <w:r>
        <w:rPr>
          <w:rFonts w:eastAsia="標楷體" w:cs="標楷體" w:ascii="標楷體" w:hAnsi="標楷體"/>
          <w:sz w:val="28"/>
          <w:szCs w:val="28"/>
        </w:rPr>
        <w:t>(</w:t>
      </w:r>
      <w:r>
        <w:rPr>
          <w:rFonts w:ascii="標楷體" w:hAnsi="標楷體" w:cs="標楷體" w:eastAsia="標楷體"/>
          <w:sz w:val="28"/>
          <w:szCs w:val="28"/>
        </w:rPr>
        <w:t>櫃</w:t>
      </w:r>
      <w:r>
        <w:rPr>
          <w:rFonts w:eastAsia="標楷體" w:cs="標楷體" w:ascii="標楷體" w:hAnsi="標楷體"/>
          <w:sz w:val="28"/>
          <w:szCs w:val="28"/>
        </w:rPr>
        <w:t>)</w:t>
      </w:r>
      <w:r>
        <w:rPr>
          <w:rFonts w:ascii="標楷體" w:hAnsi="標楷體" w:cs="標楷體" w:eastAsia="標楷體"/>
          <w:sz w:val="28"/>
          <w:szCs w:val="28"/>
        </w:rPr>
        <w:t>之外國公司之獨立董事。</w:t>
      </w:r>
    </w:p>
    <w:p>
      <w:pPr>
        <w:pStyle w:val="Normal"/>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教師至前點第一項第四款第二目所定營利事業機構或團體兼任董事或監察人，除應符合第一項規定外，並應由政府機關（構）或學校依法指派教師代</w:t>
      </w:r>
      <w:r>
        <w:rPr>
          <w:rFonts w:ascii="標楷體" w:hAnsi="標楷體" w:cs="標楷體" w:eastAsia="標楷體"/>
          <w:color w:val="000000"/>
          <w:sz w:val="28"/>
          <w:szCs w:val="28"/>
        </w:rPr>
        <w:t>表其持有股</w:t>
      </w:r>
      <w:r>
        <w:rPr>
          <w:rFonts w:ascii="標楷體" w:hAnsi="標楷體" w:cs="標楷體" w:eastAsia="標楷體"/>
          <w:sz w:val="28"/>
          <w:szCs w:val="28"/>
        </w:rPr>
        <w:t>份。</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教師至前點第一項第四款第一目、第二目所定營利事業機構或團體及第二項第四款所定外國公司兼任董事、監察人或獨立董事時，學校應主動公開教師姓名、兼職機構、團體或外國公司名稱及兼任職務等資訊。</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教師至前點第一項第四款第三目所定承接政府機關（構）研究計畫之營利事業機構或團體兼職，以兼任該研究計畫職務為限。</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教師至前點第一項第四款第四目所定公營事業機構之任務編組或臨時性組織兼職，以兼任臨時性需要所設置職務為限。</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教師至前點第一項第四款第五目、第六目及第二項第三款所定出版組織兼職，以兼任顧問及編輯職務為限。</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教師至前點第一項第五款所定新創生技新藥公司兼任董事，應符合下列條件之一：</w:t>
      </w:r>
    </w:p>
    <w:p>
      <w:pPr>
        <w:pStyle w:val="Style22"/>
        <w:numPr>
          <w:ilvl w:val="0"/>
          <w:numId w:val="7"/>
        </w:numPr>
        <w:spacing w:lineRule="exact" w:line="440"/>
        <w:ind w:left="1160" w:right="0" w:hanging="560"/>
        <w:jc w:val="distribute"/>
        <w:rPr>
          <w:rFonts w:ascii="標楷體" w:hAnsi="標楷體" w:eastAsia="標楷體" w:cs="標楷體"/>
          <w:sz w:val="28"/>
          <w:szCs w:val="28"/>
        </w:rPr>
      </w:pPr>
      <w:r>
        <w:rPr>
          <w:rFonts w:ascii="標楷體" w:hAnsi="標楷體" w:cs="標楷體" w:eastAsia="標楷體"/>
          <w:sz w:val="28"/>
          <w:szCs w:val="28"/>
        </w:rPr>
        <w:t>持有新創生技新藥公司研發製造使用於人類或動植物用新藥之主要技術。</w:t>
      </w:r>
    </w:p>
    <w:p>
      <w:pPr>
        <w:pStyle w:val="Style22"/>
        <w:numPr>
          <w:ilvl w:val="0"/>
          <w:numId w:val="7"/>
        </w:numPr>
        <w:spacing w:lineRule="exact" w:line="440"/>
        <w:ind w:left="1160" w:right="0" w:hanging="560"/>
        <w:jc w:val="distribute"/>
        <w:rPr>
          <w:rFonts w:ascii="標楷體" w:hAnsi="標楷體" w:eastAsia="標楷體" w:cs="標楷體"/>
          <w:sz w:val="28"/>
          <w:szCs w:val="28"/>
        </w:rPr>
      </w:pPr>
      <w:r>
        <w:rPr>
          <w:rFonts w:ascii="標楷體" w:hAnsi="標楷體" w:cs="標楷體" w:eastAsia="標楷體"/>
          <w:sz w:val="28"/>
          <w:szCs w:val="28"/>
        </w:rPr>
        <w:t>持有新創生技新藥公司研發製造、植入或置入人體內屬第三等級高風險醫療器材之主要技術。</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因科學研究業務需要，得至前點第一項第六款及第二項第五款所定企業、機構、團體或新創公司兼任下列職務；其相關兼職管理規範應依從事研究人員兼職與技術作價投資事業管理辦法規定辦理，不適用第七點規定：</w:t>
      </w:r>
    </w:p>
    <w:p>
      <w:pPr>
        <w:pStyle w:val="Style22"/>
        <w:numPr>
          <w:ilvl w:val="0"/>
          <w:numId w:val="16"/>
        </w:numPr>
        <w:spacing w:lineRule="exact" w:line="440"/>
        <w:ind w:left="1160" w:right="0" w:hanging="560"/>
        <w:jc w:val="distribute"/>
        <w:rPr>
          <w:rFonts w:ascii="標楷體" w:hAnsi="標楷體" w:eastAsia="標楷體" w:cs="標楷體"/>
          <w:sz w:val="28"/>
          <w:szCs w:val="28"/>
        </w:rPr>
      </w:pPr>
      <w:r>
        <w:rPr>
          <w:rFonts w:ascii="標楷體" w:hAnsi="標楷體" w:cs="標楷體" w:eastAsia="標楷體"/>
          <w:sz w:val="28"/>
          <w:szCs w:val="28"/>
        </w:rPr>
        <w:t>與教師本職研究領域相關，且非執行經營業務之職務。</w:t>
      </w:r>
    </w:p>
    <w:p>
      <w:pPr>
        <w:pStyle w:val="Style22"/>
        <w:numPr>
          <w:ilvl w:val="0"/>
          <w:numId w:val="16"/>
        </w:numPr>
        <w:spacing w:lineRule="exact" w:line="440"/>
        <w:ind w:left="1160" w:right="0" w:hanging="560"/>
        <w:jc w:val="distribute"/>
        <w:rPr>
          <w:rFonts w:ascii="標楷體" w:hAnsi="標楷體" w:eastAsia="標楷體" w:cs="標楷體"/>
          <w:sz w:val="28"/>
          <w:szCs w:val="28"/>
        </w:rPr>
      </w:pPr>
      <w:r>
        <w:rPr>
          <w:rFonts w:ascii="標楷體" w:hAnsi="標楷體" w:cs="標楷體" w:eastAsia="標楷體"/>
          <w:sz w:val="28"/>
          <w:szCs w:val="28"/>
        </w:rPr>
        <w:t>持有新創公司主要研發技術者，得兼任新創公司董事。</w:t>
      </w:r>
    </w:p>
    <w:p>
      <w:pPr>
        <w:pStyle w:val="Style22"/>
        <w:numPr>
          <w:ilvl w:val="0"/>
          <w:numId w:val="1"/>
        </w:numPr>
        <w:spacing w:lineRule="exact" w:line="440"/>
        <w:ind w:left="560" w:right="0" w:hanging="560"/>
        <w:jc w:val="distribute"/>
        <w:rPr>
          <w:rFonts w:ascii="標楷體" w:hAnsi="標楷體" w:eastAsia="標楷體" w:cs="標楷體"/>
          <w:color w:val="000000"/>
          <w:sz w:val="28"/>
          <w:szCs w:val="28"/>
        </w:rPr>
      </w:pPr>
      <w:r>
        <w:rPr>
          <w:rFonts w:ascii="標楷體" w:hAnsi="標楷體" w:cs="標楷體" w:eastAsia="標楷體"/>
          <w:color w:val="000000"/>
          <w:sz w:val="28"/>
          <w:szCs w:val="28"/>
        </w:rPr>
        <w:t>高級中等以下學校教師至第四點第一項第四款第六目所定之出版組織兼任顧問及編輯職務者，應符合下列各款規定：</w:t>
      </w:r>
    </w:p>
    <w:p>
      <w:pPr>
        <w:pStyle w:val="Style22"/>
        <w:numPr>
          <w:ilvl w:val="0"/>
          <w:numId w:val="14"/>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曾任教科圖書審定委員會、課程發展委員會委員、直轄市、縣（市）輔導團團員、學科中心或群科中心種子教師及研究教師，或曾協助主管教育行政機關研發補充教材或命題者。</w:t>
      </w:r>
    </w:p>
    <w:p>
      <w:pPr>
        <w:pStyle w:val="Style22"/>
        <w:numPr>
          <w:ilvl w:val="0"/>
          <w:numId w:val="14"/>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不得有商業行為。</w:t>
      </w:r>
    </w:p>
    <w:p>
      <w:pPr>
        <w:pStyle w:val="Style22"/>
        <w:numPr>
          <w:ilvl w:val="0"/>
          <w:numId w:val="14"/>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不得與職務、職權相牴觸。</w:t>
      </w:r>
    </w:p>
    <w:p>
      <w:pPr>
        <w:pStyle w:val="Style22"/>
        <w:numPr>
          <w:ilvl w:val="0"/>
          <w:numId w:val="14"/>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不得同時參與教科圖書審定及學校教科圖書選用作業。</w:t>
      </w:r>
    </w:p>
    <w:p>
      <w:pPr>
        <w:pStyle w:val="Style22"/>
        <w:numPr>
          <w:ilvl w:val="0"/>
          <w:numId w:val="1"/>
        </w:numPr>
        <w:spacing w:lineRule="exact" w:line="440"/>
        <w:ind w:left="560" w:right="0" w:hanging="56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教師兼任職務不得影響本職工作，且應符合校內基本授課時數及工作要求；以執行經常性業務為主者，其兼職時數每週合計不得超過八小時。</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專科以上學校教師於寒暑假期間之兼職時數得由各校自訂兼職時數上限規範，不受前項規定限制。</w:t>
      </w:r>
    </w:p>
    <w:p>
      <w:pPr>
        <w:pStyle w:val="Style22"/>
        <w:numPr>
          <w:ilvl w:val="0"/>
          <w:numId w:val="1"/>
        </w:numPr>
        <w:spacing w:lineRule="exact" w:line="440"/>
        <w:ind w:left="560" w:right="0" w:hanging="56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教師兼職費之支給，依軍公教人員兼職費支給表辦理。</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專科以上學校教師兼職費之支給個數及支給上限不受前項支給規定之限制。</w:t>
      </w:r>
    </w:p>
    <w:p>
      <w:pPr>
        <w:pStyle w:val="Style22"/>
        <w:numPr>
          <w:ilvl w:val="0"/>
          <w:numId w:val="1"/>
        </w:numPr>
        <w:spacing w:lineRule="exact" w:line="440"/>
        <w:ind w:left="560" w:right="0" w:hanging="56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教師兼職數目，除各主管教育行政機關及各目的事業主管機關另有規定外，由各級學校定之。</w:t>
      </w:r>
    </w:p>
    <w:p>
      <w:pPr>
        <w:pStyle w:val="Style22"/>
        <w:numPr>
          <w:ilvl w:val="0"/>
          <w:numId w:val="1"/>
        </w:numPr>
        <w:spacing w:lineRule="exact" w:line="440"/>
        <w:ind w:left="560" w:right="0" w:hanging="56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教師兼職除相關法令規定隨職務異動或當然兼職者外，應事先提出申請，並經學校書面核准。於期滿續兼或兼職職務異動時，應重行申請。</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前項兼職如須經兼職營利事業機構或團體提名選任之前置作業程序，教師於應邀提名選任該等職務時，亦應依前項規定辦理；如至非營利事業機構或團體兼職時，教師得比照前開規定辦理；未獲選任該等職務，教師應通知學校。</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教師兼職對本職工作、學術名譽及尊嚴無不良影響，亦無與其本職不相容之下列情形者，得免依第一項規定報經學校核准：</w:t>
      </w:r>
    </w:p>
    <w:p>
      <w:pPr>
        <w:pStyle w:val="Style22"/>
        <w:numPr>
          <w:ilvl w:val="0"/>
          <w:numId w:val="2"/>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非常態性應邀演講或授課，且分享或發表內容未具營利目的或商業宣傳行為。</w:t>
      </w:r>
    </w:p>
    <w:p>
      <w:pPr>
        <w:pStyle w:val="Style22"/>
        <w:numPr>
          <w:ilvl w:val="0"/>
          <w:numId w:val="2"/>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兼任政府機關</w:t>
      </w:r>
      <w:r>
        <w:rPr>
          <w:rFonts w:eastAsia="標楷體" w:cs="標楷體" w:ascii="標楷體" w:hAnsi="標楷體"/>
          <w:sz w:val="28"/>
          <w:szCs w:val="28"/>
        </w:rPr>
        <w:t>(</w:t>
      </w:r>
      <w:r>
        <w:rPr>
          <w:rFonts w:ascii="標楷體" w:hAnsi="標楷體" w:cs="標楷體" w:eastAsia="標楷體"/>
          <w:sz w:val="28"/>
          <w:szCs w:val="28"/>
        </w:rPr>
        <w:t>構</w:t>
      </w:r>
      <w:r>
        <w:rPr>
          <w:rFonts w:eastAsia="標楷體" w:cs="標楷體" w:ascii="標楷體" w:hAnsi="標楷體"/>
          <w:sz w:val="28"/>
          <w:szCs w:val="28"/>
        </w:rPr>
        <w:t>)</w:t>
      </w:r>
      <w:r>
        <w:rPr>
          <w:rFonts w:ascii="標楷體" w:hAnsi="標楷體" w:cs="標楷體" w:eastAsia="標楷體"/>
          <w:sz w:val="28"/>
          <w:szCs w:val="28"/>
        </w:rPr>
        <w:t>、學校、行政法人之任務編組職務或諮詢性職務，或擔任政府機關</w:t>
      </w:r>
      <w:r>
        <w:rPr>
          <w:rFonts w:eastAsia="標楷體" w:cs="標楷體" w:ascii="標楷體" w:hAnsi="標楷體"/>
          <w:sz w:val="28"/>
          <w:szCs w:val="28"/>
        </w:rPr>
        <w:t>(</w:t>
      </w:r>
      <w:r>
        <w:rPr>
          <w:rFonts w:ascii="標楷體" w:hAnsi="標楷體" w:cs="標楷體" w:eastAsia="標楷體"/>
          <w:sz w:val="28"/>
          <w:szCs w:val="28"/>
        </w:rPr>
        <w:t>構</w:t>
      </w:r>
      <w:r>
        <w:rPr>
          <w:rFonts w:eastAsia="標楷體" w:cs="標楷體" w:ascii="標楷體" w:hAnsi="標楷體"/>
          <w:sz w:val="28"/>
          <w:szCs w:val="28"/>
        </w:rPr>
        <w:t>)</w:t>
      </w:r>
      <w:r>
        <w:rPr>
          <w:rFonts w:ascii="標楷體" w:hAnsi="標楷體" w:cs="標楷體" w:eastAsia="標楷體"/>
          <w:sz w:val="28"/>
          <w:szCs w:val="28"/>
        </w:rPr>
        <w:t>、學校、行政法人會議之專家代表。</w:t>
      </w:r>
    </w:p>
    <w:p>
      <w:pPr>
        <w:pStyle w:val="Style22"/>
        <w:numPr>
          <w:ilvl w:val="0"/>
          <w:numId w:val="2"/>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所兼職務依法令規定應予保密。</w:t>
      </w:r>
    </w:p>
    <w:p>
      <w:pPr>
        <w:pStyle w:val="Style22"/>
        <w:numPr>
          <w:ilvl w:val="0"/>
          <w:numId w:val="2"/>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應政府機關</w:t>
      </w:r>
      <w:r>
        <w:rPr>
          <w:rFonts w:eastAsia="標楷體" w:cs="標楷體" w:ascii="標楷體" w:hAnsi="標楷體"/>
          <w:sz w:val="28"/>
          <w:szCs w:val="28"/>
        </w:rPr>
        <w:t>(</w:t>
      </w:r>
      <w:r>
        <w:rPr>
          <w:rFonts w:ascii="標楷體" w:hAnsi="標楷體" w:cs="標楷體" w:eastAsia="標楷體"/>
          <w:sz w:val="28"/>
          <w:szCs w:val="28"/>
        </w:rPr>
        <w:t>構</w:t>
      </w:r>
      <w:r>
        <w:rPr>
          <w:rFonts w:eastAsia="標楷體" w:cs="標楷體" w:ascii="標楷體" w:hAnsi="標楷體"/>
          <w:sz w:val="28"/>
          <w:szCs w:val="28"/>
        </w:rPr>
        <w:t>)</w:t>
      </w:r>
      <w:r>
        <w:rPr>
          <w:rFonts w:ascii="標楷體" w:hAnsi="標楷體" w:cs="標楷體" w:eastAsia="標楷體"/>
          <w:sz w:val="28"/>
          <w:szCs w:val="28"/>
        </w:rPr>
        <w:t>、學校、行政法人或非以營利為目的之事業或團體之邀請，兼任非決策或執行業務之職務，僅支領交通費或出席費，且無其他對價回饋。</w:t>
      </w:r>
    </w:p>
    <w:p>
      <w:pPr>
        <w:pStyle w:val="Style22"/>
        <w:numPr>
          <w:ilvl w:val="0"/>
          <w:numId w:val="2"/>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應政府機關</w:t>
      </w:r>
      <w:r>
        <w:rPr>
          <w:rFonts w:eastAsia="標楷體" w:cs="標楷體" w:ascii="標楷體" w:hAnsi="標楷體"/>
          <w:sz w:val="28"/>
          <w:szCs w:val="28"/>
        </w:rPr>
        <w:t>(</w:t>
      </w:r>
      <w:r>
        <w:rPr>
          <w:rFonts w:ascii="標楷體" w:hAnsi="標楷體" w:cs="標楷體" w:eastAsia="標楷體"/>
          <w:sz w:val="28"/>
          <w:szCs w:val="28"/>
        </w:rPr>
        <w:t>構</w:t>
      </w:r>
      <w:r>
        <w:rPr>
          <w:rFonts w:eastAsia="標楷體" w:cs="標楷體" w:ascii="標楷體" w:hAnsi="標楷體"/>
          <w:sz w:val="28"/>
          <w:szCs w:val="28"/>
        </w:rPr>
        <w:t>)</w:t>
      </w:r>
      <w:r>
        <w:rPr>
          <w:rFonts w:ascii="標楷體" w:hAnsi="標楷體" w:cs="標楷體" w:eastAsia="標楷體"/>
          <w:sz w:val="28"/>
          <w:szCs w:val="28"/>
        </w:rPr>
        <w:t>、學校、行政法人或非以營利為目的之事業或團體之邀請擔任非常態性之工作。</w:t>
      </w:r>
    </w:p>
    <w:p>
      <w:pPr>
        <w:pStyle w:val="Style22"/>
        <w:numPr>
          <w:ilvl w:val="0"/>
          <w:numId w:val="1"/>
        </w:numPr>
        <w:spacing w:lineRule="exact" w:line="440"/>
        <w:ind w:left="600" w:right="0" w:hanging="84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教師兼職有下列情形之一者，學校應不予核准或於兼職期間廢止其核准：</w:t>
      </w:r>
    </w:p>
    <w:p>
      <w:pPr>
        <w:pStyle w:val="Style22"/>
        <w:numPr>
          <w:ilvl w:val="0"/>
          <w:numId w:val="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與本職工作性質不相容。</w:t>
      </w:r>
    </w:p>
    <w:p>
      <w:pPr>
        <w:pStyle w:val="Style22"/>
        <w:numPr>
          <w:ilvl w:val="0"/>
          <w:numId w:val="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教師評鑑未符合學校標準。</w:t>
      </w:r>
    </w:p>
    <w:p>
      <w:pPr>
        <w:pStyle w:val="Style22"/>
        <w:numPr>
          <w:ilvl w:val="0"/>
          <w:numId w:val="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對本職工作有不良影響之虞。</w:t>
      </w:r>
    </w:p>
    <w:p>
      <w:pPr>
        <w:pStyle w:val="Style22"/>
        <w:numPr>
          <w:ilvl w:val="0"/>
          <w:numId w:val="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有損學校或教師形象之虞。</w:t>
      </w:r>
    </w:p>
    <w:p>
      <w:pPr>
        <w:pStyle w:val="Style22"/>
        <w:numPr>
          <w:ilvl w:val="0"/>
          <w:numId w:val="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有洩漏公務機密之虞。</w:t>
      </w:r>
    </w:p>
    <w:p>
      <w:pPr>
        <w:pStyle w:val="Style22"/>
        <w:numPr>
          <w:ilvl w:val="0"/>
          <w:numId w:val="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有營私舞弊之虞。</w:t>
      </w:r>
    </w:p>
    <w:p>
      <w:pPr>
        <w:pStyle w:val="Style22"/>
        <w:numPr>
          <w:ilvl w:val="0"/>
          <w:numId w:val="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有職務上不當利益輸送之虞。</w:t>
      </w:r>
    </w:p>
    <w:p>
      <w:pPr>
        <w:pStyle w:val="Style22"/>
        <w:numPr>
          <w:ilvl w:val="0"/>
          <w:numId w:val="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有支用公款或不當利用學校公物之虞。</w:t>
      </w:r>
    </w:p>
    <w:p>
      <w:pPr>
        <w:pStyle w:val="Style22"/>
        <w:numPr>
          <w:ilvl w:val="0"/>
          <w:numId w:val="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有違反教育中立之虞。</w:t>
      </w:r>
    </w:p>
    <w:p>
      <w:pPr>
        <w:pStyle w:val="Style22"/>
        <w:numPr>
          <w:ilvl w:val="0"/>
          <w:numId w:val="5"/>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有危害教師安全或健康之虞。</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各級學校應就教師之兼職每年定期進行評估檢討，作為是否同意教師繼續兼職之依據。</w:t>
      </w:r>
    </w:p>
    <w:p>
      <w:pPr>
        <w:pStyle w:val="ListParagraph"/>
        <w:numPr>
          <w:ilvl w:val="0"/>
          <w:numId w:val="1"/>
        </w:numPr>
        <w:spacing w:lineRule="exact" w:line="440"/>
        <w:ind w:left="600" w:right="0" w:hanging="84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兼職期間超過半年，且有下列情形之一者，除法令另有規定外，學校應與教師兼職之營利事業機構或團體訂定契約，並依兼職態樣及實際情況訂定回饋機制，其實質回饋每年以不低於兼職教師一個月在學校支領之薪給總額為原則；其以收取學術回饋金為回饋機制者，應納入校務基金運用或公務預算繳庫：</w:t>
      </w:r>
    </w:p>
    <w:p>
      <w:pPr>
        <w:pStyle w:val="Style22"/>
        <w:numPr>
          <w:ilvl w:val="0"/>
          <w:numId w:val="8"/>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未兼任行政職務教師：</w:t>
      </w:r>
    </w:p>
    <w:p>
      <w:pPr>
        <w:pStyle w:val="Style22"/>
        <w:numPr>
          <w:ilvl w:val="0"/>
          <w:numId w:val="10"/>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至第四點第一項第四款第一目所定與學校建立產學合作關係之營利事業機構或團體及第二項第四款所定與學校建立產學合作關係之外國公司兼職。</w:t>
      </w:r>
    </w:p>
    <w:p>
      <w:pPr>
        <w:pStyle w:val="Style22"/>
        <w:numPr>
          <w:ilvl w:val="0"/>
          <w:numId w:val="10"/>
        </w:numPr>
        <w:spacing w:lineRule="exact" w:line="440"/>
        <w:ind w:left="1380" w:right="0" w:hanging="420"/>
        <w:jc w:val="distribute"/>
        <w:rPr>
          <w:rFonts w:ascii="標楷體" w:hAnsi="標楷體" w:eastAsia="標楷體" w:cs="標楷體"/>
          <w:color w:val="000000"/>
          <w:sz w:val="28"/>
          <w:szCs w:val="24"/>
        </w:rPr>
      </w:pPr>
      <w:r>
        <w:rPr>
          <w:rFonts w:ascii="標楷體" w:hAnsi="標楷體" w:cs="標楷體" w:eastAsia="標楷體"/>
          <w:color w:val="000000"/>
          <w:sz w:val="28"/>
          <w:szCs w:val="24"/>
        </w:rPr>
        <w:t>至第四點第一項第五款所定新創生技新藥公司兼職。</w:t>
      </w:r>
    </w:p>
    <w:p>
      <w:pPr>
        <w:pStyle w:val="Normal"/>
        <w:numPr>
          <w:ilvl w:val="0"/>
          <w:numId w:val="8"/>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color w:val="000000"/>
          <w:sz w:val="28"/>
          <w:szCs w:val="28"/>
        </w:rPr>
        <w:t>兼任行政職務教師，非代表政府機關</w:t>
      </w:r>
      <w:r>
        <w:rPr>
          <w:rFonts w:eastAsia="標楷體" w:cs="標楷體" w:ascii="標楷體" w:hAnsi="標楷體"/>
          <w:color w:val="000000"/>
          <w:sz w:val="28"/>
          <w:szCs w:val="28"/>
        </w:rPr>
        <w:t>(</w:t>
      </w:r>
      <w:r>
        <w:rPr>
          <w:rFonts w:ascii="標楷體" w:hAnsi="標楷體" w:cs="標楷體" w:eastAsia="標楷體"/>
          <w:color w:val="000000"/>
          <w:sz w:val="28"/>
          <w:szCs w:val="28"/>
        </w:rPr>
        <w:t>構</w:t>
      </w:r>
      <w:r>
        <w:rPr>
          <w:rFonts w:eastAsia="標楷體" w:cs="標楷體" w:ascii="標楷體" w:hAnsi="標楷體"/>
          <w:color w:val="000000"/>
          <w:sz w:val="28"/>
          <w:szCs w:val="28"/>
        </w:rPr>
        <w:t>)</w:t>
      </w:r>
      <w:r>
        <w:rPr>
          <w:rFonts w:ascii="標楷體" w:hAnsi="標楷體" w:cs="標楷體" w:eastAsia="標楷體"/>
          <w:color w:val="000000"/>
          <w:sz w:val="28"/>
          <w:szCs w:val="28"/>
        </w:rPr>
        <w:t>或學校股份，依</w:t>
      </w:r>
      <w:r>
        <w:rPr>
          <w:rFonts w:ascii="標楷體" w:hAnsi="標楷體" w:cs="標楷體" w:eastAsia="標楷體"/>
          <w:sz w:val="28"/>
          <w:szCs w:val="28"/>
        </w:rPr>
        <w:t>相關法令規定至營利事業機構或團體及生技新藥公司兼職。</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經選任為前項第一款第一目之獨立董事職務時，學校應請教師兼職之營利事業機構或團體於股東會後首次董事會作成自教師經選任為獨立董事之日起三個月內，與學校完成簽訂產學合作及學術回饋機制契約，溯自選任之日起生效之決議，並函知學校。</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兼任獨立董事程序符合前項規定者，自經選任之日起三個月內視為合法兼職；兼職之營利事業機構或團體於股東會後首次董事會無法作成前項決議時，學校應自始否准教師之該項兼職。屆期未完成簽訂產學合作及學術回饋機制契約，該項兼職同意函自三個月期間屆滿之次日起不生效力。</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教師兼任獨立董事所衍生之相關職務應依本原則相關規定提出申請，於前項所定三個月期間，執行職務所生效力與前二項相同。</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本原則中華民國一百零九年二月十三日修正發布前，教師兼任獨立董事之兼職機關</w:t>
      </w:r>
      <w:r>
        <w:rPr>
          <w:rFonts w:eastAsia="標楷體" w:cs="標楷體" w:ascii="標楷體" w:hAnsi="標楷體"/>
          <w:sz w:val="28"/>
          <w:szCs w:val="28"/>
        </w:rPr>
        <w:t>(</w:t>
      </w:r>
      <w:r>
        <w:rPr>
          <w:rFonts w:ascii="標楷體" w:hAnsi="標楷體" w:cs="標楷體" w:eastAsia="標楷體"/>
          <w:sz w:val="28"/>
          <w:szCs w:val="28"/>
        </w:rPr>
        <w:t>構</w:t>
      </w:r>
      <w:r>
        <w:rPr>
          <w:rFonts w:eastAsia="標楷體" w:cs="標楷體" w:ascii="標楷體" w:hAnsi="標楷體"/>
          <w:sz w:val="28"/>
          <w:szCs w:val="28"/>
        </w:rPr>
        <w:t>)</w:t>
      </w:r>
      <w:r>
        <w:rPr>
          <w:rFonts w:ascii="標楷體" w:hAnsi="標楷體" w:cs="標楷體" w:eastAsia="標楷體"/>
          <w:sz w:val="28"/>
          <w:szCs w:val="28"/>
        </w:rPr>
        <w:t>已召開股東會後首次董事會者，不受第二項及第三項規定之限制。</w:t>
      </w:r>
    </w:p>
    <w:p>
      <w:pPr>
        <w:pStyle w:val="Style22"/>
        <w:numPr>
          <w:ilvl w:val="0"/>
          <w:numId w:val="1"/>
        </w:numPr>
        <w:spacing w:lineRule="exact" w:line="440"/>
        <w:ind w:left="600" w:right="0" w:hanging="840"/>
        <w:jc w:val="distribute"/>
        <w:rPr>
          <w:rFonts w:ascii="標楷體" w:hAnsi="標楷體" w:eastAsia="標楷體" w:cs="標楷體"/>
          <w:color w:val="000000"/>
          <w:sz w:val="28"/>
          <w:szCs w:val="28"/>
        </w:rPr>
      </w:pPr>
      <w:r>
        <w:rPr>
          <w:rFonts w:ascii="標楷體" w:hAnsi="標楷體" w:cs="標楷體" w:eastAsia="標楷體"/>
          <w:color w:val="000000"/>
          <w:sz w:val="28"/>
          <w:szCs w:val="28"/>
        </w:rPr>
        <w:t>教師借調期間，其兼職依下列規定辦理，不受第七點至第十一點規定之限制：</w:t>
      </w:r>
    </w:p>
    <w:p>
      <w:pPr>
        <w:pStyle w:val="Style22"/>
        <w:numPr>
          <w:ilvl w:val="0"/>
          <w:numId w:val="9"/>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兼職期間不得超過借調期間，經借調機關（構）、學校、法人、事業或團體核准教師之兼職後，應副知原服務學校。</w:t>
      </w:r>
    </w:p>
    <w:p>
      <w:pPr>
        <w:pStyle w:val="Style22"/>
        <w:numPr>
          <w:ilvl w:val="0"/>
          <w:numId w:val="9"/>
        </w:numPr>
        <w:spacing w:lineRule="exact" w:line="440"/>
        <w:ind w:left="1124" w:right="0" w:hanging="560"/>
        <w:jc w:val="distribute"/>
        <w:rPr>
          <w:rFonts w:ascii="標楷體" w:hAnsi="標楷體" w:eastAsia="標楷體" w:cs="標楷體"/>
          <w:sz w:val="28"/>
          <w:szCs w:val="28"/>
        </w:rPr>
      </w:pPr>
      <w:r>
        <w:rPr>
          <w:rFonts w:ascii="標楷體" w:hAnsi="標楷體" w:cs="標楷體" w:eastAsia="標楷體"/>
          <w:sz w:val="28"/>
          <w:szCs w:val="28"/>
        </w:rPr>
        <w:t>借調期間至營利事業機構或團體兼職，期間超過半年者，由原服務學校自行決定是否比照前點規定，收取學術回饋金。</w:t>
      </w:r>
    </w:p>
    <w:p>
      <w:pPr>
        <w:pStyle w:val="Style22"/>
        <w:numPr>
          <w:ilvl w:val="0"/>
          <w:numId w:val="1"/>
        </w:numPr>
        <w:spacing w:lineRule="exact" w:line="440"/>
        <w:ind w:left="600" w:right="0" w:hanging="840"/>
        <w:jc w:val="distribute"/>
        <w:rPr>
          <w:rFonts w:ascii="標楷體" w:hAnsi="標楷體" w:eastAsia="標楷體" w:cs="標楷體"/>
          <w:color w:val="000000"/>
          <w:sz w:val="28"/>
          <w:szCs w:val="28"/>
        </w:rPr>
      </w:pPr>
      <w:r>
        <w:rPr>
          <w:rFonts w:ascii="標楷體" w:hAnsi="標楷體" w:cs="標楷體" w:eastAsia="標楷體"/>
          <w:color w:val="000000"/>
          <w:sz w:val="28"/>
          <w:szCs w:val="28"/>
        </w:rPr>
        <w:t>學校應就教師申請兼職建立校內審核管理機制進行實質審核；違反本原則規定之案件，應提送教師評審委員會或其他會議進行審議。</w:t>
      </w:r>
    </w:p>
    <w:p>
      <w:pPr>
        <w:pStyle w:val="Style22"/>
        <w:spacing w:lineRule="exact" w:line="440"/>
        <w:ind w:left="600" w:right="0" w:firstLine="560"/>
        <w:jc w:val="distribute"/>
        <w:rPr>
          <w:rFonts w:ascii="標楷體" w:hAnsi="標楷體" w:eastAsia="標楷體" w:cs="標楷體"/>
          <w:sz w:val="28"/>
          <w:szCs w:val="28"/>
        </w:rPr>
      </w:pPr>
      <w:r>
        <w:rPr>
          <w:rFonts w:ascii="標楷體" w:hAnsi="標楷體" w:cs="標楷體" w:eastAsia="標楷體"/>
          <w:sz w:val="28"/>
          <w:szCs w:val="28"/>
        </w:rPr>
        <w:t>前項違反規定期間所支領之兼職費，應納入校務基金運用或公務預算繳庫，並由學校列入聘約規範予以追繳。</w:t>
      </w:r>
    </w:p>
    <w:p>
      <w:pPr>
        <w:pStyle w:val="Style22"/>
        <w:numPr>
          <w:ilvl w:val="0"/>
          <w:numId w:val="1"/>
        </w:numPr>
        <w:spacing w:lineRule="exact" w:line="440"/>
        <w:ind w:left="600" w:right="0" w:hanging="840"/>
        <w:jc w:val="distribute"/>
        <w:rPr>
          <w:rFonts w:ascii="標楷體" w:hAnsi="標楷體" w:eastAsia="標楷體" w:cs="標楷體"/>
          <w:color w:val="000000"/>
          <w:sz w:val="28"/>
          <w:szCs w:val="28"/>
        </w:rPr>
      </w:pPr>
      <w:r>
        <w:rPr>
          <w:rFonts w:ascii="標楷體" w:hAnsi="標楷體" w:cs="標楷體" w:eastAsia="標楷體"/>
          <w:color w:val="000000"/>
          <w:sz w:val="28"/>
          <w:szCs w:val="28"/>
        </w:rPr>
        <w:t>各級學校依本原則訂定之校內規定，應經校務會議通過後實施。</w:t>
      </w:r>
    </w:p>
    <w:p>
      <w:pPr>
        <w:pStyle w:val="Style22"/>
        <w:numPr>
          <w:ilvl w:val="0"/>
          <w:numId w:val="1"/>
        </w:numPr>
        <w:spacing w:lineRule="exact" w:line="440"/>
        <w:ind w:left="600" w:right="0" w:hanging="840"/>
        <w:jc w:val="distribute"/>
        <w:rPr>
          <w:rFonts w:ascii="標楷體" w:hAnsi="標楷體" w:eastAsia="標楷體" w:cs="標楷體"/>
          <w:color w:val="000000"/>
          <w:sz w:val="28"/>
          <w:szCs w:val="28"/>
        </w:rPr>
      </w:pPr>
      <w:r>
        <w:rPr>
          <w:rFonts w:ascii="標楷體" w:hAnsi="標楷體" w:cs="標楷體" w:eastAsia="標楷體"/>
          <w:color w:val="000000"/>
          <w:sz w:val="28"/>
          <w:szCs w:val="28"/>
        </w:rPr>
        <w:t>各級主管教育行政機關或學校定有較本原則更嚴格之規定者，從其規定。</w:t>
      </w:r>
    </w:p>
    <w:sectPr>
      <w:footerReference w:type="default" r:id="rId2"/>
      <w:type w:val="nextPage"/>
      <w:pgSz w:w="11906" w:h="16838"/>
      <w:pgMar w:left="1304" w:right="1304" w:header="0" w:top="1134" w:footer="397"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標楷體">
    <w:charset w:val="88"/>
    <w:family w:val="script"/>
    <w:pitch w:val="default"/>
  </w:font>
  <w:font w:name="細明體">
    <w:altName w:val="MingLiU"/>
    <w:charset w:val="88"/>
    <w:family w:val="modern"/>
    <w:pitch w:val="default"/>
  </w:font>
  <w:font w:name="標楷體">
    <w:charset w:val="88"/>
    <w:family w:val="roman"/>
    <w:pitch w:val="variable"/>
  </w:font>
  <w:font w:name="Liberation Sans">
    <w:altName w:val="Arial"/>
    <w:charset w:val="88"/>
    <w:family w:val="swiss"/>
    <w:pitch w:val="variable"/>
  </w:font>
  <w:font w:name="Calibri">
    <w:charset w:val="88"/>
    <w:family w:val="roman"/>
    <w:pitch w:val="variable"/>
  </w:font>
  <w:font w:name="標楷體">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6</w:t>
    </w:r>
    <w:r>
      <w:rPr/>
      <w:fldChar w:fldCharType="end"/>
    </w:r>
  </w:p>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taiwaneseCountingThousand"/>
      <w:suff w:val="nothing"/>
      <w:lvlText w:val="%1、"/>
      <w:lvlJc w:val="left"/>
      <w:pPr>
        <w:ind w:left="480" w:hanging="480"/>
      </w:pPr>
      <w:rPr>
        <w:rFonts w:ascii="標楷體" w:hAnsi="標楷體" w:eastAsia="標楷體" w:cs="標楷體"/>
        <w:lang w:val="en-US"/>
      </w:rPr>
    </w:lvl>
  </w:abstractNum>
  <w:abstractNum w:abstractNumId="2">
    <w:lvl w:ilvl="0">
      <w:start w:val="1"/>
      <w:numFmt w:val="taiwaneseCountingThousand"/>
      <w:suff w:val="nothing"/>
      <w:lvlText w:val="(%1)"/>
      <w:lvlJc w:val="left"/>
      <w:pPr>
        <w:ind w:left="720" w:hanging="720"/>
      </w:pPr>
      <w:rPr/>
    </w:lvl>
  </w:abstractNum>
  <w:abstractNum w:abstractNumId="3">
    <w:lvl w:ilvl="0">
      <w:start w:val="1"/>
      <w:numFmt w:val="decimal"/>
      <w:lvlText w:val="%1、"/>
      <w:lvlJc w:val="left"/>
      <w:pPr>
        <w:ind w:left="1680" w:hanging="360"/>
      </w:pPr>
      <w:rPr/>
    </w:lvl>
  </w:abstractNum>
  <w:abstractNum w:abstractNumId="4">
    <w:lvl w:ilvl="0">
      <w:start w:val="1"/>
      <w:numFmt w:val="taiwaneseCountingThousand"/>
      <w:suff w:val="nothing"/>
      <w:lvlText w:val="(%1)"/>
      <w:lvlJc w:val="left"/>
      <w:pPr>
        <w:ind w:left="720" w:hanging="720"/>
      </w:pPr>
      <w:rPr/>
    </w:lvl>
  </w:abstractNum>
  <w:abstractNum w:abstractNumId="5">
    <w:lvl w:ilvl="0">
      <w:start w:val="1"/>
      <w:numFmt w:val="taiwaneseCountingThousand"/>
      <w:suff w:val="nothing"/>
      <w:lvlText w:val="(%1)"/>
      <w:lvlJc w:val="left"/>
      <w:pPr>
        <w:ind w:left="720" w:hanging="720"/>
      </w:pPr>
      <w:rPr/>
    </w:lvl>
  </w:abstractNum>
  <w:abstractNum w:abstractNumId="6">
    <w:lvl w:ilvl="0">
      <w:start w:val="1"/>
      <w:numFmt w:val="taiwaneseCountingThousand"/>
      <w:suff w:val="nothing"/>
      <w:lvlText w:val="(%1)"/>
      <w:lvlJc w:val="left"/>
      <w:pPr>
        <w:ind w:left="720" w:hanging="720"/>
      </w:pPr>
      <w:rPr/>
    </w:lvl>
  </w:abstractNum>
  <w:abstractNum w:abstractNumId="7">
    <w:lvl w:ilvl="0">
      <w:start w:val="1"/>
      <w:numFmt w:val="taiwaneseCountingThousand"/>
      <w:suff w:val="nothing"/>
      <w:lvlText w:val="(%1)"/>
      <w:lvlJc w:val="left"/>
      <w:pPr>
        <w:ind w:left="720" w:hanging="720"/>
      </w:pPr>
      <w:rPr/>
    </w:lvl>
  </w:abstractNum>
  <w:abstractNum w:abstractNumId="8">
    <w:lvl w:ilvl="0">
      <w:start w:val="1"/>
      <w:numFmt w:val="taiwaneseCountingThousand"/>
      <w:suff w:val="nothing"/>
      <w:lvlText w:val="(%1)"/>
      <w:lvlJc w:val="left"/>
      <w:pPr>
        <w:ind w:left="720" w:hanging="720"/>
      </w:pPr>
      <w:rPr>
        <w:sz w:val="28"/>
        <w:szCs w:val="28"/>
        <w:rFonts w:ascii="標楷體" w:hAnsi="標楷體" w:eastAsia="標楷體" w:cs="標楷體"/>
      </w:rPr>
    </w:lvl>
  </w:abstractNum>
  <w:abstractNum w:abstractNumId="9">
    <w:lvl w:ilvl="0">
      <w:start w:val="1"/>
      <w:numFmt w:val="taiwaneseCountingThousand"/>
      <w:suff w:val="nothing"/>
      <w:lvlText w:val="(%1)"/>
      <w:lvlJc w:val="left"/>
      <w:pPr>
        <w:ind w:left="720" w:hanging="720"/>
      </w:pPr>
      <w:rPr/>
    </w:lvl>
  </w:abstractNum>
  <w:abstractNum w:abstractNumId="10">
    <w:lvl w:ilvl="0">
      <w:start w:val="1"/>
      <w:numFmt w:val="decimal"/>
      <w:lvlText w:val="%1、"/>
      <w:lvlJc w:val="left"/>
      <w:pPr>
        <w:ind w:left="1680" w:hanging="360"/>
      </w:pPr>
      <w:rPr/>
    </w:lvl>
  </w:abstractNum>
  <w:abstractNum w:abstractNumId="11">
    <w:lvl w:ilvl="0">
      <w:start w:val="1"/>
      <w:numFmt w:val="taiwaneseCountingThousand"/>
      <w:suff w:val="nothing"/>
      <w:lvlText w:val="(%1)"/>
      <w:lvlJc w:val="left"/>
      <w:pPr>
        <w:ind w:left="720" w:hanging="720"/>
      </w:pPr>
      <w:rPr/>
    </w:lvl>
  </w:abstractNum>
  <w:abstractNum w:abstractNumId="12">
    <w:lvl w:ilvl="0">
      <w:start w:val="1"/>
      <w:numFmt w:val="decimal"/>
      <w:lvlText w:val="%1、"/>
      <w:lvlJc w:val="left"/>
      <w:pPr>
        <w:ind w:left="1680" w:hanging="360"/>
      </w:pPr>
      <w:rPr>
        <w:sz w:val="28"/>
        <w:szCs w:val="24"/>
        <w:rFonts w:ascii="標楷體" w:hAnsi="標楷體" w:eastAsia="標楷體" w:cs="標楷體"/>
        <w:color w:val="000000"/>
      </w:rPr>
    </w:lvl>
  </w:abstractNum>
  <w:abstractNum w:abstractNumId="13">
    <w:lvl w:ilvl="0">
      <w:start w:val="1"/>
      <w:numFmt w:val="taiwaneseCountingThousand"/>
      <w:suff w:val="nothing"/>
      <w:lvlText w:val="(%1)"/>
      <w:lvlJc w:val="left"/>
      <w:pPr>
        <w:ind w:left="720" w:hanging="720"/>
      </w:pPr>
      <w:rPr/>
    </w:lvl>
  </w:abstractNum>
  <w:abstractNum w:abstractNumId="14">
    <w:lvl w:ilvl="0">
      <w:start w:val="1"/>
      <w:numFmt w:val="taiwaneseCountingThousand"/>
      <w:suff w:val="nothing"/>
      <w:lvlText w:val="(%1)"/>
      <w:lvlJc w:val="left"/>
      <w:pPr>
        <w:ind w:left="720" w:hanging="720"/>
      </w:pPr>
      <w:rPr/>
    </w:lvl>
  </w:abstractNum>
  <w:abstractNum w:abstractNumId="15">
    <w:lvl w:ilvl="0">
      <w:start w:val="1"/>
      <w:numFmt w:val="taiwaneseCountingThousand"/>
      <w:suff w:val="nothing"/>
      <w:lvlText w:val="(%1)"/>
      <w:lvlJc w:val="left"/>
      <w:pPr>
        <w:ind w:left="720" w:hanging="720"/>
      </w:pPr>
      <w:rPr/>
    </w:lvl>
  </w:abstractNum>
  <w:abstractNum w:abstractNumId="16">
    <w:lvl w:ilvl="0">
      <w:start w:val="1"/>
      <w:numFmt w:val="taiwaneseCountingThousand"/>
      <w:suff w:val="nothing"/>
      <w:lvlText w:val="(%1)"/>
      <w:lvlJc w:val="left"/>
      <w:pPr>
        <w:ind w:left="720" w:hanging="720"/>
      </w:pPr>
      <w:r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Cs w:val="24"/>
        <w:lang w:val="en-US" w:eastAsia="zh-TW" w:bidi="hi-IN"/>
      </w:rPr>
    </w:rPrDefault>
    <w:pPrDefault>
      <w:pPr/>
    </w:pPrDefault>
  </w:docDefaults>
  <w:style w:type="paragraph" w:styleId="Normal">
    <w:name w:val="Normal"/>
    <w:qFormat/>
    <w:pPr>
      <w:widowControl w:val="false"/>
      <w:kinsoku w:val="true"/>
      <w:overflowPunct w:val="true"/>
      <w:autoSpaceDE w:val="true"/>
      <w:bidi w:val="0"/>
    </w:pPr>
    <w:rPr>
      <w:rFonts w:ascii="Calibri" w:hAnsi="Calibri" w:eastAsia="新細明體;PMingLiU" w:cs="Times New Roman"/>
      <w:color w:val="auto"/>
      <w:kern w:val="2"/>
      <w:sz w:val="24"/>
      <w:szCs w:val="22"/>
      <w:lang w:val="en-US" w:eastAsia="zh-TW"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標楷體" w:hAnsi="標楷體" w:eastAsia="標楷體" w:cs="標楷體"/>
      <w:lang w:val="en-U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標楷體" w:hAnsi="標楷體" w:eastAsia="標楷體" w:cs="標楷體"/>
      <w:sz w:val="28"/>
      <w:szCs w:val="28"/>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標楷體" w:hAnsi="標楷體" w:eastAsia="標楷體" w:cs="標楷體"/>
      <w:color w:val="000000"/>
      <w:sz w:val="28"/>
      <w:szCs w:val="24"/>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Style14">
    <w:name w:val="預設段落字型"/>
    <w:qFormat/>
    <w:rPr/>
  </w:style>
  <w:style w:type="character" w:styleId="HTML">
    <w:name w:val="HTML 預設格式 字元"/>
    <w:qFormat/>
    <w:rPr>
      <w:rFonts w:ascii="細明體;MingLiU" w:hAnsi="細明體;MingLiU" w:eastAsia="細明體;MingLiU" w:cs="細明體;MingLiU"/>
      <w:kern w:val="0"/>
      <w:szCs w:val="24"/>
    </w:rPr>
  </w:style>
  <w:style w:type="character" w:styleId="Style15">
    <w:name w:val="頁首 字元"/>
    <w:qFormat/>
    <w:rPr>
      <w:sz w:val="20"/>
      <w:szCs w:val="20"/>
    </w:rPr>
  </w:style>
  <w:style w:type="character" w:styleId="Style16">
    <w:name w:val="頁尾 字元"/>
    <w:qFormat/>
    <w:rPr>
      <w:sz w:val="20"/>
      <w:szCs w:val="20"/>
    </w:rPr>
  </w:style>
  <w:style w:type="character" w:styleId="DefaultParagraphFont">
    <w:name w:val="Default Paragraph Font"/>
    <w:qFormat/>
    <w:rPr/>
  </w:style>
  <w:style w:type="character" w:styleId="ListLabel1">
    <w:name w:val="ListLabel 1"/>
    <w:qFormat/>
    <w:rPr>
      <w:rFonts w:ascii="標楷體" w:hAnsi="標楷體" w:eastAsia="標楷體" w:cs="標楷體"/>
      <w:sz w:val="28"/>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paragraph" w:styleId="Style17">
    <w:name w:val="標題"/>
    <w:basedOn w:val="Normal"/>
    <w:next w:val="Style18"/>
    <w:qFormat/>
    <w:pPr>
      <w:keepNext w:val="true"/>
      <w:spacing w:before="240" w:after="120"/>
    </w:pPr>
    <w:rPr>
      <w:rFonts w:ascii="Liberation Sans" w:hAnsi="Liberation Sans" w:eastAsia="微軟正黑體"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索引"/>
    <w:basedOn w:val="Normal"/>
    <w:qFormat/>
    <w:pPr>
      <w:suppressLineNumbers/>
    </w:pPr>
    <w:rPr>
      <w:rFonts w:cs="Mangal"/>
    </w:rPr>
  </w:style>
  <w:style w:type="paragraph" w:styleId="Style22">
    <w:name w:val="清單段落"/>
    <w:basedOn w:val="Normal"/>
    <w:qFormat/>
    <w:pPr>
      <w:ind w:left="480" w:right="0" w:hanging="0"/>
    </w:pPr>
    <w:rPr/>
  </w:style>
  <w:style w:type="paragraph" w:styleId="HTML1">
    <w:name w:val="HTML 預設格式"/>
    <w:basedOn w:val="Normal"/>
    <w:qFormat/>
    <w:pPr>
      <w:widowControl/>
    </w:pPr>
    <w:rPr>
      <w:rFonts w:ascii="細明體;MingLiU" w:hAnsi="細明體;MingLiU" w:eastAsia="細明體;MingLiU" w:cs="細明體;MingLiU"/>
      <w:kern w:val="0"/>
      <w:szCs w:val="24"/>
    </w:rPr>
  </w:style>
  <w:style w:type="paragraph" w:styleId="Style23">
    <w:name w:val="Header"/>
    <w:basedOn w:val="Normal"/>
    <w:pPr>
      <w:snapToGrid w:val="false"/>
    </w:pPr>
    <w:rPr>
      <w:sz w:val="20"/>
      <w:szCs w:val="20"/>
    </w:rPr>
  </w:style>
  <w:style w:type="paragraph" w:styleId="Style24">
    <w:name w:val="Footer"/>
    <w:basedOn w:val="Normal"/>
    <w:pPr>
      <w:snapToGrid w:val="false"/>
    </w:pPr>
    <w:rPr>
      <w:sz w:val="20"/>
      <w:szCs w:val="20"/>
    </w:rPr>
  </w:style>
  <w:style w:type="paragraph" w:styleId="DocumentMap">
    <w:name w:val="DocumentMap"/>
    <w:qFormat/>
    <w:pPr>
      <w:widowControl/>
      <w:kinsoku w:val="true"/>
      <w:overflowPunct w:val="true"/>
      <w:autoSpaceDE w:val="true"/>
      <w:bidi w:val="0"/>
      <w:jc w:val="left"/>
      <w:textAlignment w:val="auto"/>
    </w:pPr>
    <w:rPr>
      <w:rFonts w:ascii="Calibri" w:hAnsi="Calibri" w:eastAsia="新細明體" w:cs="Calibri"/>
      <w:color w:val="auto"/>
      <w:kern w:val="2"/>
      <w:sz w:val="24"/>
      <w:szCs w:val="22"/>
      <w:lang w:val="en-US" w:eastAsia="zh-TW" w:bidi="ar-SA"/>
    </w:rPr>
  </w:style>
  <w:style w:type="paragraph" w:styleId="ListParagraph">
    <w:name w:val="List Paragraph"/>
    <w:basedOn w:val="Normal"/>
    <w:qFormat/>
    <w:pPr>
      <w:ind w:left="480" w:right="0" w:hanging="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NDC_ODF_Application_Tools/2.0.2$Windows_x86 LibreOffice_project/ed72a44ef8f10c5a9b48f1a4b7467ea50da7b580</Application>
  <Pages>6</Pages>
  <Words>4107</Words>
  <CharactersWithSpaces>4108</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2020-01-21T13:57:00Z</dcterms:created>
  <dc:creator>葉怡伶</dc:creator>
  <dc:description/>
  <cp:keywords/>
  <dc:language>zh-TW</dc:language>
  <cp:lastModifiedBy/>
  <cp:lastPrinted>2020-02-10T10:08:05Z</cp:lastPrinted>
  <dcterms:modified xsi:type="dcterms:W3CDTF">2020-02-10T10:41:42Z</dcterms:modified>
  <cp:revision>6</cp:revision>
  <dc:subject/>
  <dc:title/>
</cp:coreProperties>
</file>