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lineRule="exact" w:line="580"/>
        <w:jc w:val="center"/>
        <w:rPr/>
      </w:pPr>
      <w:r>
        <w:rPr>
          <w:rStyle w:val="Style14"/>
          <w:rFonts w:ascii="標楷體" w:hAnsi="標楷體" w:cs="DFMing-Lt-WIN-HK-BF" w:eastAsia="標楷體"/>
          <w:kern w:val="0"/>
          <w:sz w:val="40"/>
          <w:szCs w:val="40"/>
        </w:rPr>
        <w:t>教師因公涉訟輔助辦法第十三條修正條文</w:t>
      </w:r>
      <w:r>
        <w:rPr>
          <w:rStyle w:val="Style14"/>
          <w:rFonts w:ascii="標楷體" w:hAnsi="標楷體" w:eastAsia="標楷體"/>
          <w:sz w:val="40"/>
          <w:szCs w:val="40"/>
        </w:rPr>
        <w:t>勘誤表</w:t>
      </w:r>
    </w:p>
    <w:tbl>
      <w:tblPr>
        <w:tblW w:w="4800" w:type="pct"/>
        <w:jc w:val="center"/>
        <w:tblInd w:w="0" w:type="dxa"/>
        <w:tblCellMar>
          <w:top w:w="0" w:type="dxa"/>
          <w:left w:w="28" w:type="dxa"/>
          <w:bottom w:w="0" w:type="dxa"/>
          <w:right w:w="28" w:type="dxa"/>
        </w:tblCellMar>
      </w:tblPr>
      <w:tblGrid>
        <w:gridCol w:w="4216"/>
        <w:gridCol w:w="4219"/>
      </w:tblGrid>
      <w:tr>
        <w:trPr>
          <w:trHeight w:val="208" w:hRule="atLeast"/>
        </w:trPr>
        <w:tc>
          <w:tcPr>
            <w:tcW w:w="421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1"/>
              <w:ind w:left="0" w:right="0" w:firstLine="120"/>
              <w:jc w:val="center"/>
              <w:rPr>
                <w:rFonts w:ascii="標楷體" w:hAnsi="標楷體" w:eastAsia="標楷體"/>
              </w:rPr>
            </w:pPr>
            <w:r>
              <w:rPr>
                <w:rFonts w:ascii="標楷體" w:hAnsi="標楷體" w:eastAsia="標楷體"/>
              </w:rPr>
              <w:t>更正後文字</w:t>
            </w:r>
          </w:p>
        </w:tc>
        <w:tc>
          <w:tcPr>
            <w:tcW w:w="421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1"/>
              <w:ind w:left="0" w:right="0" w:firstLine="120"/>
              <w:jc w:val="center"/>
              <w:rPr>
                <w:rFonts w:ascii="標楷體" w:hAnsi="標楷體" w:eastAsia="標楷體"/>
              </w:rPr>
            </w:pPr>
            <w:r>
              <w:rPr>
                <w:rFonts w:ascii="標楷體" w:hAnsi="標楷體" w:eastAsia="標楷體"/>
              </w:rPr>
              <w:t>原列文字</w:t>
            </w:r>
          </w:p>
        </w:tc>
      </w:tr>
      <w:tr>
        <w:trPr>
          <w:trHeight w:val="1169" w:hRule="atLeast"/>
        </w:trPr>
        <w:tc>
          <w:tcPr>
            <w:tcW w:w="4216" w:type="dxa"/>
            <w:tcBorders>
              <w:top w:val="single" w:sz="4" w:space="0" w:color="000000"/>
              <w:left w:val="single" w:sz="4" w:space="0" w:color="000000"/>
              <w:bottom w:val="single" w:sz="4" w:space="0" w:color="000000"/>
              <w:right w:val="single" w:sz="4" w:space="0" w:color="000000"/>
            </w:tcBorders>
            <w:shd w:fill="auto" w:val="clear"/>
          </w:tcPr>
          <w:p>
            <w:pPr>
              <w:pStyle w:val="Style21"/>
              <w:tabs>
                <w:tab w:val="clear" w:pos="50"/>
              </w:tabs>
              <w:autoSpaceDE w:val="false"/>
              <w:ind w:left="252" w:right="0" w:hanging="252"/>
              <w:jc w:val="distribute"/>
              <w:rPr>
                <w:rFonts w:ascii="標楷體" w:hAnsi="標楷體" w:eastAsia="標楷體"/>
                <w:szCs w:val="28"/>
              </w:rPr>
            </w:pPr>
            <w:r>
              <w:rPr>
                <w:rFonts w:ascii="標楷體" w:hAnsi="標楷體" w:eastAsia="標楷體"/>
                <w:szCs w:val="28"/>
              </w:rPr>
              <w:t>第十三條  教師經服務學校或幼兒園認定非依法執行職務不予涉訟輔助後，其訴訟案件有下列各款情形之一者，得於確定之日起檢具證明文件以書面重行向服務學校或幼兒園申請輔助延聘律師之費用：</w:t>
            </w:r>
          </w:p>
          <w:p>
            <w:pPr>
              <w:pStyle w:val="Style21"/>
              <w:tabs>
                <w:tab w:val="clear" w:pos="50"/>
              </w:tabs>
              <w:autoSpaceDE w:val="false"/>
              <w:ind w:left="722" w:right="0" w:hanging="600"/>
              <w:jc w:val="distribute"/>
              <w:rPr>
                <w:rFonts w:ascii="標楷體" w:hAnsi="標楷體" w:eastAsia="標楷體"/>
                <w:szCs w:val="28"/>
              </w:rPr>
            </w:pPr>
            <w:r>
              <w:rPr>
                <w:rFonts w:ascii="標楷體" w:hAnsi="標楷體" w:eastAsia="標楷體"/>
                <w:szCs w:val="28"/>
              </w:rPr>
              <w:t xml:space="preserve"> </w:t>
            </w:r>
            <w:r>
              <w:rPr>
                <w:rFonts w:ascii="標楷體" w:hAnsi="標楷體" w:eastAsia="標楷體"/>
                <w:szCs w:val="28"/>
              </w:rPr>
              <w:t>一、經不起訴處分確定。但不包括依刑事訴訟法第二百五十三條及第二百五十四條所為之不起訴處分。</w:t>
            </w:r>
          </w:p>
          <w:p>
            <w:pPr>
              <w:pStyle w:val="Style21"/>
              <w:tabs>
                <w:tab w:val="clear" w:pos="50"/>
              </w:tabs>
              <w:autoSpaceDE w:val="false"/>
              <w:ind w:left="722" w:right="0" w:hanging="600"/>
              <w:jc w:val="distribute"/>
              <w:rPr>
                <w:rFonts w:ascii="標楷體" w:hAnsi="標楷體" w:eastAsia="標楷體"/>
                <w:szCs w:val="28"/>
              </w:rPr>
            </w:pPr>
            <w:r>
              <w:rPr>
                <w:rFonts w:ascii="標楷體" w:hAnsi="標楷體" w:eastAsia="標楷體"/>
                <w:szCs w:val="28"/>
              </w:rPr>
              <w:t xml:space="preserve"> </w:t>
            </w:r>
            <w:r>
              <w:rPr>
                <w:rFonts w:ascii="標楷體" w:hAnsi="標楷體" w:eastAsia="標楷體"/>
                <w:szCs w:val="28"/>
              </w:rPr>
              <w:t xml:space="preserve">二、經裁判確定，認無民事或刑事責任。 </w:t>
            </w:r>
          </w:p>
          <w:p>
            <w:pPr>
              <w:pStyle w:val="Style21"/>
              <w:tabs>
                <w:tab w:val="clear" w:pos="50"/>
              </w:tabs>
              <w:autoSpaceDE w:val="false"/>
              <w:ind w:left="250" w:right="0" w:firstLine="485"/>
              <w:jc w:val="distribute"/>
              <w:rPr>
                <w:rFonts w:ascii="標楷體" w:hAnsi="標楷體" w:eastAsia="標楷體"/>
                <w:szCs w:val="28"/>
              </w:rPr>
            </w:pPr>
            <w:r>
              <w:rPr>
                <w:rFonts w:ascii="標楷體" w:hAnsi="標楷體" w:eastAsia="標楷體"/>
                <w:szCs w:val="28"/>
              </w:rPr>
              <w:t>服務學校或幼兒園受理前項申請，應依本法及本辦法規定重行認定，並自受理之次日起一個月內作成決定。未能於期限內決定者，得延長之，並通知申請人。延長以一次為限，最長不得逾一個月。</w:t>
            </w:r>
          </w:p>
          <w:p>
            <w:pPr>
              <w:pStyle w:val="Style21"/>
              <w:tabs>
                <w:tab w:val="clear" w:pos="50"/>
              </w:tabs>
              <w:autoSpaceDE w:val="false"/>
              <w:ind w:left="250" w:right="0" w:firstLine="485"/>
              <w:jc w:val="distribute"/>
              <w:rPr>
                <w:rFonts w:ascii="標楷體" w:hAnsi="標楷體" w:eastAsia="標楷體"/>
                <w:szCs w:val="28"/>
              </w:rPr>
            </w:pPr>
            <w:r>
              <w:rPr>
                <w:rFonts w:ascii="標楷體" w:hAnsi="標楷體" w:eastAsia="標楷體"/>
                <w:szCs w:val="28"/>
              </w:rPr>
              <w:t>兼任行政職務教師經依法移付懲戒或移送監察院審查者，其依第一項規定重行申請輔助延聘律師之費用時，服務學校或幼兒園應俟懲戒機關審理結果或監察院審查彈劾不成立後，再行認定是否給予涉訟輔助。</w:t>
            </w:r>
          </w:p>
          <w:p>
            <w:pPr>
              <w:pStyle w:val="Style21"/>
              <w:tabs>
                <w:tab w:val="clear" w:pos="50"/>
              </w:tabs>
              <w:autoSpaceDE w:val="false"/>
              <w:ind w:left="250" w:right="0" w:firstLine="485"/>
              <w:jc w:val="distribute"/>
              <w:rPr>
                <w:rFonts w:ascii="標楷體" w:hAnsi="標楷體" w:eastAsia="標楷體"/>
                <w:szCs w:val="28"/>
              </w:rPr>
            </w:pPr>
            <w:r>
              <w:rPr>
                <w:rFonts w:ascii="標楷體" w:hAnsi="標楷體" w:eastAsia="標楷體"/>
                <w:szCs w:val="28"/>
              </w:rPr>
              <w:t>第一項規定之重行申請，應自不起訴處分或裁判確定之日起三個月內為之。但因不可抗力之事由，致不能行使者，得於原因消滅後十日內重行申請。</w:t>
            </w:r>
          </w:p>
          <w:p>
            <w:pPr>
              <w:pStyle w:val="Style21"/>
              <w:tabs>
                <w:tab w:val="clear" w:pos="50"/>
              </w:tabs>
              <w:autoSpaceDE w:val="false"/>
              <w:ind w:left="250" w:right="0" w:firstLine="485"/>
              <w:jc w:val="distribute"/>
              <w:rPr/>
            </w:pPr>
            <w:r>
              <w:rPr>
                <w:rStyle w:val="Style14"/>
                <w:rFonts w:ascii="標楷體" w:hAnsi="標楷體" w:eastAsia="標楷體"/>
                <w:szCs w:val="28"/>
              </w:rPr>
              <w:t>本辦法中華民國一百零九年六月</w:t>
            </w:r>
            <w:r>
              <w:rPr>
                <w:rStyle w:val="Style14"/>
                <w:rFonts w:ascii="標楷體" w:hAnsi="標楷體" w:eastAsia="標楷體"/>
                <w:szCs w:val="28"/>
                <w:u w:val="single"/>
              </w:rPr>
              <w:t>二十八</w:t>
            </w:r>
            <w:r>
              <w:rPr>
                <w:rStyle w:val="Style14"/>
                <w:rFonts w:ascii="標楷體" w:hAnsi="標楷體" w:eastAsia="標楷體"/>
                <w:szCs w:val="28"/>
              </w:rPr>
              <w:t>日修正施行前，有第一項規定重行申請事由，且於公立學校及幼兒園尚未屆滿十年期間者或於私立學校尚未屆滿十五年期間者，自本辦法修正施行之日起，於三個月內為之。</w:t>
            </w:r>
          </w:p>
        </w:tc>
        <w:tc>
          <w:tcPr>
            <w:tcW w:w="4219" w:type="dxa"/>
            <w:tcBorders>
              <w:top w:val="single" w:sz="4" w:space="0" w:color="000000"/>
              <w:left w:val="single" w:sz="4" w:space="0" w:color="000000"/>
              <w:bottom w:val="single" w:sz="4" w:space="0" w:color="000000"/>
              <w:right w:val="single" w:sz="4" w:space="0" w:color="000000"/>
            </w:tcBorders>
            <w:shd w:fill="auto" w:val="clear"/>
          </w:tcPr>
          <w:p>
            <w:pPr>
              <w:pStyle w:val="Style21"/>
              <w:tabs>
                <w:tab w:val="clear" w:pos="50"/>
              </w:tabs>
              <w:autoSpaceDE w:val="false"/>
              <w:ind w:left="252" w:right="0" w:hanging="252"/>
              <w:jc w:val="distribute"/>
              <w:rPr>
                <w:rFonts w:ascii="標楷體" w:hAnsi="標楷體" w:eastAsia="標楷體"/>
                <w:szCs w:val="28"/>
              </w:rPr>
            </w:pPr>
            <w:r>
              <w:rPr>
                <w:rFonts w:ascii="標楷體" w:hAnsi="標楷體" w:eastAsia="標楷體"/>
                <w:szCs w:val="28"/>
              </w:rPr>
              <w:t>第十三條  教師經服務學校或幼兒園認定非依法執行職務不予涉訟輔助後，其訴訟案件有下列各款情形之一者，得於確定之日起檢具證明文件以書面重行向服務學校或幼兒園申請輔助延聘律師之費用：</w:t>
            </w:r>
          </w:p>
          <w:p>
            <w:pPr>
              <w:pStyle w:val="Style21"/>
              <w:tabs>
                <w:tab w:val="clear" w:pos="50"/>
              </w:tabs>
              <w:autoSpaceDE w:val="false"/>
              <w:ind w:left="722" w:right="0" w:hanging="600"/>
              <w:jc w:val="distribute"/>
              <w:rPr>
                <w:rFonts w:ascii="標楷體" w:hAnsi="標楷體" w:eastAsia="標楷體"/>
                <w:szCs w:val="28"/>
              </w:rPr>
            </w:pPr>
            <w:r>
              <w:rPr>
                <w:rFonts w:ascii="標楷體" w:hAnsi="標楷體" w:eastAsia="標楷體"/>
                <w:szCs w:val="28"/>
              </w:rPr>
              <w:t xml:space="preserve"> </w:t>
            </w:r>
            <w:r>
              <w:rPr>
                <w:rFonts w:ascii="標楷體" w:hAnsi="標楷體" w:eastAsia="標楷體"/>
                <w:szCs w:val="28"/>
              </w:rPr>
              <w:t>一、經不起訴處分確定。但不包括依刑事訴訟法第二百五十三條及第二百五十四條所為之不起訴處分。</w:t>
            </w:r>
          </w:p>
          <w:p>
            <w:pPr>
              <w:pStyle w:val="Style21"/>
              <w:tabs>
                <w:tab w:val="clear" w:pos="50"/>
              </w:tabs>
              <w:autoSpaceDE w:val="false"/>
              <w:ind w:left="722" w:right="0" w:hanging="600"/>
              <w:jc w:val="distribute"/>
              <w:rPr>
                <w:rFonts w:ascii="標楷體" w:hAnsi="標楷體" w:eastAsia="標楷體"/>
                <w:szCs w:val="28"/>
              </w:rPr>
            </w:pPr>
            <w:r>
              <w:rPr>
                <w:rFonts w:ascii="標楷體" w:hAnsi="標楷體" w:eastAsia="標楷體"/>
                <w:szCs w:val="28"/>
              </w:rPr>
              <w:t xml:space="preserve"> </w:t>
            </w:r>
            <w:r>
              <w:rPr>
                <w:rFonts w:ascii="標楷體" w:hAnsi="標楷體" w:eastAsia="標楷體"/>
                <w:szCs w:val="28"/>
              </w:rPr>
              <w:t xml:space="preserve">二、經裁判確定，認無民事或刑事責任。 </w:t>
            </w:r>
          </w:p>
          <w:p>
            <w:pPr>
              <w:pStyle w:val="Style21"/>
              <w:tabs>
                <w:tab w:val="clear" w:pos="50"/>
              </w:tabs>
              <w:autoSpaceDE w:val="false"/>
              <w:ind w:left="250" w:right="0" w:firstLine="485"/>
              <w:jc w:val="distribute"/>
              <w:rPr>
                <w:rFonts w:ascii="標楷體" w:hAnsi="標楷體" w:eastAsia="標楷體"/>
                <w:szCs w:val="28"/>
              </w:rPr>
            </w:pPr>
            <w:r>
              <w:rPr>
                <w:rFonts w:ascii="標楷體" w:hAnsi="標楷體" w:eastAsia="標楷體"/>
                <w:szCs w:val="28"/>
              </w:rPr>
              <w:t>服務學校或幼兒園受理前項申請，應依本法及本辦法規定重行認定，並自受理之次日起一個月內作成決定。未能於期限內決定者，得延長之，並通知申請人。延長以一次為限，最長不得逾一個月。</w:t>
            </w:r>
          </w:p>
          <w:p>
            <w:pPr>
              <w:pStyle w:val="Style21"/>
              <w:tabs>
                <w:tab w:val="clear" w:pos="50"/>
              </w:tabs>
              <w:autoSpaceDE w:val="false"/>
              <w:ind w:left="250" w:right="0" w:firstLine="485"/>
              <w:jc w:val="distribute"/>
              <w:rPr>
                <w:rFonts w:ascii="標楷體" w:hAnsi="標楷體" w:eastAsia="標楷體"/>
                <w:szCs w:val="28"/>
              </w:rPr>
            </w:pPr>
            <w:r>
              <w:rPr>
                <w:rFonts w:ascii="標楷體" w:hAnsi="標楷體" w:eastAsia="標楷體"/>
                <w:szCs w:val="28"/>
              </w:rPr>
              <w:t>兼任行政職務教師經依法移付懲戒或移送監察院審查者，其依第一項規定重行申請輔助延聘律師之費用時，服務學校或幼兒園應俟懲戒機關審理結果或監察院審查彈劾不成立後，再行認定是否給予涉訟輔助。</w:t>
            </w:r>
          </w:p>
          <w:p>
            <w:pPr>
              <w:pStyle w:val="Style21"/>
              <w:tabs>
                <w:tab w:val="clear" w:pos="50"/>
              </w:tabs>
              <w:autoSpaceDE w:val="false"/>
              <w:spacing w:lineRule="auto" w:line="240" w:before="0" w:after="0"/>
              <w:ind w:left="250" w:right="0" w:firstLine="485"/>
              <w:jc w:val="distribute"/>
              <w:rPr>
                <w:rFonts w:ascii="標楷體" w:hAnsi="標楷體" w:eastAsia="標楷體"/>
                <w:szCs w:val="28"/>
              </w:rPr>
            </w:pPr>
            <w:r>
              <w:rPr>
                <w:rFonts w:ascii="標楷體" w:hAnsi="標楷體" w:eastAsia="標楷體"/>
                <w:szCs w:val="28"/>
              </w:rPr>
              <w:t>第一項規定之重行申請，應自不起訴處分或裁判確定之日起三個月內為之。但因不可抗力之事由，致不能行使者，得於原因消滅後十日內重行申請。</w:t>
            </w:r>
          </w:p>
          <w:p>
            <w:pPr>
              <w:pStyle w:val="Style21"/>
              <w:tabs>
                <w:tab w:val="clear" w:pos="50"/>
              </w:tabs>
              <w:autoSpaceDE w:val="false"/>
              <w:ind w:left="250" w:right="0" w:firstLine="485"/>
              <w:jc w:val="distribute"/>
              <w:rPr>
                <w:rFonts w:ascii="標楷體" w:hAnsi="標楷體" w:eastAsia="標楷體"/>
                <w:szCs w:val="28"/>
              </w:rPr>
            </w:pPr>
            <w:r>
              <w:rPr>
                <w:rFonts w:ascii="標楷體" w:hAnsi="標楷體" w:eastAsia="標楷體"/>
                <w:szCs w:val="28"/>
              </w:rPr>
              <w:t>本辦法中華民國一百零九年六月三十日修正施行前，有第一項規定重行申請事由，且於公立學校及幼兒園尚未屆滿十年期間者或於私立學校尚未屆滿十五年期間者，自本辦法修正施行之日起，於三個月內為之。</w:t>
            </w:r>
          </w:p>
        </w:tc>
      </w:tr>
    </w:tbl>
    <w:p>
      <w:pPr>
        <w:pStyle w:val="Style21"/>
        <w:widowControl/>
        <w:tabs>
          <w:tab w:val="clear" w:pos="50"/>
          <w:tab w:val="left" w:pos="851" w:leader="none"/>
        </w:tabs>
        <w:spacing w:lineRule="exact" w:line="460"/>
        <w:jc w:val="center"/>
        <w:rPr>
          <w:rFonts w:ascii="標楷體" w:hAnsi="標楷體" w:eastAsia="標楷體"/>
          <w:b/>
          <w:b/>
          <w:kern w:val="0"/>
          <w:sz w:val="40"/>
          <w:szCs w:val="40"/>
        </w:rPr>
      </w:pPr>
      <w:r>
        <w:rPr>
          <w:rFonts w:eastAsia="標楷體" w:ascii="標楷體" w:hAnsi="標楷體"/>
          <w:b/>
          <w:kern w:val="0"/>
          <w:sz w:val="40"/>
          <w:szCs w:val="40"/>
        </w:rPr>
      </w:r>
    </w:p>
    <w:sectPr>
      <w:type w:val="nextPage"/>
      <w:pgSz w:w="11906" w:h="16838"/>
      <w:pgMar w:left="1701" w:right="1418" w:header="0" w:top="851" w:footer="0" w:bottom="992" w:gutter="0"/>
      <w:pgNumType w:start="1"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細明體">
    <w:charset w:val="88"/>
    <w:family w:val="modern"/>
    <w:pitch w:val="fixed"/>
  </w:font>
  <w:font w:name="標楷體">
    <w:charset w:val="88"/>
    <w:family w:val="script"/>
    <w:pitch w:val="fixed"/>
  </w:font>
  <w:font w:name="Arial">
    <w:charset w:val="88"/>
    <w:family w:val="swiss"/>
    <w:pitch w:val="variable"/>
  </w:font>
  <w:font w:name="Verdana">
    <w:charset w:val="88"/>
    <w:family w:val="swiss"/>
    <w:pitch w:val="variable"/>
  </w:font>
  <w:font w:name="Calibri">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ind w:left="1077" w:hanging="714"/>
      </w:pPr>
    </w:lvl>
    <w:lvl w:ilvl="1">
      <w:start w:val="1"/>
      <w:numFmt w:val="decimal"/>
      <w:suff w:val="nothing"/>
      <w:lvlText w:val="（%2）"/>
      <w:lvlJc w:val="left"/>
      <w:pPr>
        <w:ind w:left="1803" w:hanging="1077"/>
      </w:pPr>
    </w:lvl>
    <w:lvl w:ilvl="2">
      <w:start w:val="1"/>
      <w:numFmt w:val="decimal"/>
      <w:suff w:val="nothing"/>
      <w:lvlText w:val="%3、"/>
      <w:lvlJc w:val="left"/>
      <w:pPr>
        <w:ind w:left="2189" w:hanging="737"/>
      </w:pPr>
    </w:lvl>
    <w:lvl w:ilvl="3">
      <w:start w:val="1"/>
      <w:numFmt w:val="decimal"/>
      <w:suff w:val="nothing"/>
      <w:lvlText w:val="（%4）"/>
      <w:lvlJc w:val="left"/>
      <w:pPr>
        <w:ind w:left="2903" w:hanging="1089"/>
      </w:pPr>
    </w:lvl>
    <w:lvl w:ilvl="4">
      <w:start w:val="1"/>
      <w:numFmt w:val="ideographTraditional"/>
      <w:suff w:val="nothing"/>
      <w:lvlText w:val="%5、"/>
      <w:lvlJc w:val="left"/>
      <w:pPr>
        <w:ind w:left="3280" w:hanging="64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5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Style15">
    <w:name w:val="頁碼"/>
    <w:basedOn w:val="Style14"/>
    <w:rPr/>
  </w:style>
  <w:style w:type="character" w:styleId="HTML">
    <w:name w:val="HTML 預設格式 字元"/>
    <w:qFormat/>
    <w:rPr>
      <w:rFonts w:ascii="細明體" w:hAnsi="細明體" w:eastAsia="細明體"/>
      <w:lang w:val="en-US" w:eastAsia="zh-TW" w:bidi="ar-SA"/>
    </w:rPr>
  </w:style>
  <w:style w:type="character" w:styleId="2">
    <w:name w:val="本文縮排 2 字元"/>
    <w:qFormat/>
    <w:rPr>
      <w:kern w:val="2"/>
      <w:sz w:val="24"/>
      <w:szCs w:val="24"/>
    </w:rPr>
  </w:style>
  <w:style w:type="character" w:styleId="Style16">
    <w:name w:val="頁首 字元"/>
    <w:qFormat/>
    <w:rPr>
      <w:kern w:val="2"/>
    </w:rPr>
  </w:style>
  <w:style w:type="character" w:styleId="Style17">
    <w:name w:val="頁尾 字元"/>
    <w:qFormat/>
    <w:rPr>
      <w:kern w:val="2"/>
    </w:rPr>
  </w:style>
  <w:style w:type="character" w:styleId="Style18">
    <w:name w:val="註解參照"/>
    <w:qFormat/>
    <w:rPr>
      <w:sz w:val="18"/>
      <w:szCs w:val="18"/>
    </w:rPr>
  </w:style>
  <w:style w:type="character" w:styleId="Style19">
    <w:name w:val="註解文字 字元"/>
    <w:qFormat/>
    <w:rPr>
      <w:kern w:val="2"/>
      <w:sz w:val="24"/>
      <w:szCs w:val="24"/>
    </w:rPr>
  </w:style>
  <w:style w:type="character" w:styleId="Style20">
    <w:name w:val="註解主旨 字元"/>
    <w:qFormat/>
    <w:rPr>
      <w:b/>
      <w:bCs/>
      <w:kern w:val="2"/>
      <w:sz w:val="24"/>
      <w:szCs w:val="24"/>
    </w:rPr>
  </w:style>
  <w:style w:type="character" w:styleId="WWCharLFO2LVL1">
    <w:name w:val="WW_CharLFO2LVL1"/>
    <w:qFormat/>
    <w:rPr>
      <w:b w:val="false"/>
    </w:rPr>
  </w:style>
  <w:style w:type="character" w:styleId="WWCharLFO2LVL2">
    <w:name w:val="WW_CharLFO2LVL2"/>
    <w:qFormat/>
    <w:rPr>
      <w:lang w:val="en-US"/>
    </w:rPr>
  </w:style>
  <w:style w:type="character" w:styleId="WWCharLFO7LVL1">
    <w:name w:val="WW_CharLFO7LVL1"/>
    <w:qFormat/>
    <w:rPr>
      <w:lang w:val="en-US"/>
    </w:rPr>
  </w:style>
  <w:style w:type="character" w:styleId="WWCharLFO14LVL1">
    <w:name w:val="WW_CharLFO14LVL1"/>
    <w:qFormat/>
    <w:rPr>
      <w:color w:val="auto"/>
    </w:rPr>
  </w:style>
  <w:style w:type="character" w:styleId="WWCharLFO18LVL1">
    <w:name w:val="WW_CharLFO18LVL1"/>
    <w:qFormat/>
    <w:rPr>
      <w:color w:val="000000"/>
    </w:rPr>
  </w:style>
  <w:style w:type="character" w:styleId="WWCharLFO20LVL1">
    <w:name w:val="WW_CharLFO20LVL1"/>
    <w:qFormat/>
    <w:rPr>
      <w:color w:val="000000"/>
    </w:rPr>
  </w:style>
  <w:style w:type="character" w:styleId="WWCharLFO22LVL1">
    <w:name w:val="WW_CharLFO22LVL1"/>
    <w:qFormat/>
    <w:rPr>
      <w:lang w:val="en-US"/>
    </w:rPr>
  </w:style>
  <w:style w:type="paragraph" w:styleId="Style21">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HTML1">
    <w:name w:val="HTML 預設格式"/>
    <w:basedOn w:val="Style21"/>
    <w:qFormat/>
    <w:pPr>
      <w:widowControl/>
      <w:tabs>
        <w:tab w:val="clear" w:pos="5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細明體" w:hAnsi="細明體" w:eastAsia="細明體"/>
      <w:kern w:val="0"/>
      <w:sz w:val="20"/>
      <w:szCs w:val="20"/>
    </w:rPr>
  </w:style>
  <w:style w:type="paragraph" w:styleId="3">
    <w:name w:val="本文縮排 3"/>
    <w:basedOn w:val="Style21"/>
    <w:qFormat/>
    <w:pPr>
      <w:tabs>
        <w:tab w:val="clear" w:pos="50"/>
      </w:tabs>
      <w:suppressAutoHyphens w:val="true"/>
      <w:spacing w:lineRule="exact" w:line="400"/>
      <w:ind w:left="511" w:right="0" w:hanging="511"/>
      <w:jc w:val="distribute"/>
    </w:pPr>
    <w:rPr>
      <w:rFonts w:ascii="標楷體" w:hAnsi="標楷體" w:eastAsia="標楷體"/>
    </w:rPr>
  </w:style>
  <w:style w:type="paragraph" w:styleId="Style22">
    <w:name w:val="區塊文字"/>
    <w:basedOn w:val="Style21"/>
    <w:qFormat/>
    <w:pPr>
      <w:tabs>
        <w:tab w:val="clear" w:pos="50"/>
      </w:tabs>
      <w:suppressAutoHyphens w:val="true"/>
      <w:spacing w:lineRule="exact" w:line="280"/>
      <w:ind w:left="480" w:right="57" w:hanging="480"/>
      <w:jc w:val="distribute"/>
    </w:pPr>
    <w:rPr>
      <w:rFonts w:ascii="標楷體" w:hAnsi="標楷體" w:eastAsia="標楷體"/>
      <w:szCs w:val="20"/>
    </w:rPr>
  </w:style>
  <w:style w:type="paragraph" w:styleId="Style23">
    <w:name w:val="分項段落"/>
    <w:basedOn w:val="Style21"/>
    <w:qFormat/>
    <w:pPr>
      <w:numPr>
        <w:ilvl w:val="0"/>
        <w:numId w:val="1"/>
      </w:numPr>
      <w:suppressAutoHyphens w:val="true"/>
      <w:snapToGrid w:val="false"/>
      <w:spacing w:lineRule="exact" w:line="720"/>
      <w:jc w:val="distribute"/>
      <w:textAlignment w:val="baseline"/>
    </w:pPr>
    <w:rPr>
      <w:rFonts w:eastAsia="標楷體"/>
      <w:kern w:val="0"/>
      <w:sz w:val="36"/>
      <w:szCs w:val="20"/>
    </w:rPr>
  </w:style>
  <w:style w:type="paragraph" w:styleId="Style24">
    <w:name w:val="Footer"/>
    <w:basedOn w:val="Style21"/>
    <w:pPr>
      <w:tabs>
        <w:tab w:val="clear" w:pos="50"/>
        <w:tab w:val="center" w:pos="4153" w:leader="none"/>
        <w:tab w:val="right" w:pos="8306" w:leader="none"/>
      </w:tabs>
      <w:suppressAutoHyphens w:val="true"/>
      <w:snapToGrid w:val="false"/>
    </w:pPr>
    <w:rPr>
      <w:sz w:val="20"/>
      <w:szCs w:val="20"/>
    </w:rPr>
  </w:style>
  <w:style w:type="paragraph" w:styleId="Style25">
    <w:name w:val="Header"/>
    <w:basedOn w:val="Style21"/>
    <w:pPr>
      <w:tabs>
        <w:tab w:val="clear" w:pos="50"/>
        <w:tab w:val="center" w:pos="4153" w:leader="none"/>
        <w:tab w:val="right" w:pos="8306" w:leader="none"/>
      </w:tabs>
      <w:suppressAutoHyphens w:val="true"/>
      <w:snapToGrid w:val="false"/>
    </w:pPr>
    <w:rPr>
      <w:sz w:val="20"/>
      <w:szCs w:val="20"/>
    </w:rPr>
  </w:style>
  <w:style w:type="paragraph" w:styleId="Style26">
    <w:name w:val="註解方塊文字"/>
    <w:basedOn w:val="Style21"/>
    <w:qFormat/>
    <w:pPr>
      <w:suppressAutoHyphens w:val="true"/>
    </w:pPr>
    <w:rPr>
      <w:rFonts w:ascii="Arial" w:hAnsi="Arial"/>
      <w:sz w:val="18"/>
      <w:szCs w:val="18"/>
    </w:rPr>
  </w:style>
  <w:style w:type="paragraph" w:styleId="Style27">
    <w:name w:val="本文縮排"/>
    <w:basedOn w:val="Style21"/>
    <w:qFormat/>
    <w:pPr>
      <w:tabs>
        <w:tab w:val="clear" w:pos="50"/>
      </w:tabs>
      <w:suppressAutoHyphens w:val="true"/>
      <w:spacing w:before="0" w:after="120"/>
      <w:ind w:left="480" w:right="0" w:hanging="0"/>
    </w:pPr>
    <w:rPr/>
  </w:style>
  <w:style w:type="paragraph" w:styleId="1">
    <w:name w:val=" 字元 字元1 字元"/>
    <w:basedOn w:val="Style21"/>
    <w:qFormat/>
    <w:pPr>
      <w:widowControl/>
      <w:suppressAutoHyphens w:val="true"/>
      <w:spacing w:lineRule="exact" w:line="240" w:before="0" w:after="160"/>
    </w:pPr>
    <w:rPr>
      <w:rFonts w:ascii="Verdana" w:hAnsi="Verdana" w:eastAsia="Times New Roman" w:cs="Mangal"/>
      <w:sz w:val="20"/>
      <w:lang w:eastAsia="en-US" w:bidi="hi-IN"/>
    </w:rPr>
  </w:style>
  <w:style w:type="paragraph" w:styleId="21">
    <w:name w:val="本文縮排 2"/>
    <w:basedOn w:val="Style21"/>
    <w:qFormat/>
    <w:pPr>
      <w:tabs>
        <w:tab w:val="clear" w:pos="50"/>
      </w:tabs>
      <w:suppressAutoHyphens w:val="true"/>
      <w:spacing w:lineRule="auto" w:line="480" w:before="0" w:after="120"/>
      <w:ind w:left="480" w:right="0" w:hanging="0"/>
    </w:pPr>
    <w:rPr/>
  </w:style>
  <w:style w:type="paragraph" w:styleId="Style28">
    <w:name w:val="清單段落"/>
    <w:basedOn w:val="Style21"/>
    <w:qFormat/>
    <w:pPr>
      <w:tabs>
        <w:tab w:val="clear" w:pos="50"/>
      </w:tabs>
      <w:suppressAutoHyphens w:val="true"/>
      <w:ind w:left="480" w:right="0" w:hanging="0"/>
    </w:pPr>
    <w:rPr>
      <w:rFonts w:ascii="Calibri" w:hAnsi="Calibri"/>
      <w:szCs w:val="22"/>
    </w:rPr>
  </w:style>
  <w:style w:type="paragraph" w:styleId="Style29">
    <w:name w:val="註解文字"/>
    <w:basedOn w:val="Style21"/>
    <w:qFormat/>
    <w:pPr>
      <w:suppressAutoHyphens w:val="true"/>
    </w:pPr>
    <w:rPr/>
  </w:style>
  <w:style w:type="paragraph" w:styleId="Style30">
    <w:name w:val="註解主旨"/>
    <w:basedOn w:val="Style29"/>
    <w:next w:val="Style29"/>
    <w:qFormat/>
    <w:pPr>
      <w:suppressAutoHyphens w:val="true"/>
    </w:pPr>
    <w:rPr>
      <w:b/>
      <w:bCs/>
    </w:rPr>
  </w:style>
  <w:style w:type="paragraph" w:styleId="Style31">
    <w:name w:val="表格內容"/>
    <w:basedOn w:val="Normal"/>
    <w:qFormat/>
    <w:pPr>
      <w:suppressLineNumbers/>
    </w:pPr>
    <w:rPr/>
  </w:style>
  <w:style w:type="numbering" w:styleId="LFO1">
    <w:name w:val="LFO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NDC_ODF_Application_Tools/2.0.2$Windows_x86 LibreOffice_project/ed72a44ef8f10c5a9b48f1a4b7467ea50da7b580</Application>
  <Pages>2</Pages>
  <Words>999</Words>
  <CharactersWithSpaces>1009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2020-07-09T07:48:00Z</dcterms:created>
  <dc:creator>MOEJSMPC</dc:creator>
  <dc:description/>
  <dc:language>zh-TW</dc:language>
  <cp:lastModifiedBy/>
  <cp:lastPrinted>2020-07-10T10:10:28Z</cp:lastPrinted>
  <dcterms:modified xsi:type="dcterms:W3CDTF">2020-07-10T10:12:41Z</dcterms:modified>
  <cp:revision>3</cp:revision>
  <dc:subject/>
  <dc:title>公立學校教職員成績考核辦法（草案）歷次會議通過之修正條文   930920</dc:title>
</cp:coreProperties>
</file>