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Style24"/>
        <w:widowControl w:val="false"/>
        <w:suppressAutoHyphens w:val="true"/>
        <w:spacing w:lineRule="exact" w:line="600" w:before="0" w:after="180"/>
        <w:ind w:left="0" w:right="-283" w:hanging="0"/>
        <w:jc w:val="left"/>
        <w:rPr/>
      </w:pPr>
      <w:bookmarkStart w:id="0" w:name="__DdeLink__210_3891165365"/>
      <w:r>
        <w:rPr>
          <w:rStyle w:val="Style14"/>
          <w:rFonts w:ascii="標楷體" w:hAnsi="標楷體" w:eastAsia="標楷體"/>
          <w:b/>
          <w:bCs/>
          <w:color w:val="000000"/>
          <w:sz w:val="36"/>
        </w:rPr>
        <w:t>教育部國民及學前教育署補助自願赴偏遠地區學校服務之校長及教師相關特別獎勵措施經費作業要點</w:t>
      </w:r>
      <w:bookmarkEnd w:id="0"/>
    </w:p>
    <w:p>
      <w:pPr>
        <w:pStyle w:val="Style33"/>
        <w:widowControl w:val="false"/>
        <w:numPr>
          <w:ilvl w:val="0"/>
          <w:numId w:val="0"/>
        </w:numPr>
        <w:tabs>
          <w:tab w:val="left" w:pos="1068" w:leader="none"/>
        </w:tabs>
        <w:suppressAutoHyphens w:val="true"/>
        <w:bidi w:val="0"/>
        <w:snapToGrid w:val="false"/>
        <w:spacing w:lineRule="exact" w:line="400"/>
        <w:ind w:left="960" w:right="0" w:hanging="0"/>
        <w:jc w:val="distribute"/>
        <w:rPr>
          <w:rFonts w:ascii="標楷體" w:hAnsi="標楷體" w:eastAsia="標楷體"/>
          <w:sz w:val="28"/>
          <w:szCs w:val="28"/>
        </w:rPr>
      </w:pPr>
      <w:r>
        <w:rPr>
          <w:rFonts w:ascii="標楷體" w:hAnsi="標楷體" w:eastAsia="標楷體"/>
          <w:sz w:val="28"/>
          <w:szCs w:val="28"/>
        </w:rPr>
        <w:t>一、教育部國民及學前教育署（以下簡稱本署）為提高偏遠地區學校校長及教</w:t>
      </w:r>
    </w:p>
    <w:p>
      <w:pPr>
        <w:pStyle w:val="Style33"/>
        <w:widowControl w:val="false"/>
        <w:numPr>
          <w:ilvl w:val="0"/>
          <w:numId w:val="0"/>
        </w:numPr>
        <w:tabs>
          <w:tab w:val="left" w:pos="1635" w:leader="none"/>
        </w:tabs>
        <w:suppressAutoHyphens w:val="true"/>
        <w:bidi w:val="0"/>
        <w:snapToGrid w:val="false"/>
        <w:spacing w:lineRule="exact" w:line="400"/>
        <w:ind w:left="1527" w:right="0" w:hanging="0"/>
        <w:jc w:val="distribute"/>
        <w:rPr>
          <w:rFonts w:ascii="標楷體" w:hAnsi="標楷體" w:eastAsia="標楷體"/>
          <w:sz w:val="28"/>
          <w:szCs w:val="28"/>
        </w:rPr>
      </w:pPr>
      <w:r>
        <w:rPr>
          <w:rFonts w:ascii="標楷體" w:hAnsi="標楷體" w:eastAsia="標楷體"/>
          <w:sz w:val="28"/>
          <w:szCs w:val="28"/>
        </w:rPr>
        <w:t>師服務誘因，穩定偏遠地區學校師資，依據自願服務偏遠地區學校校長及教師特別獎勵辦法（以下簡稱本辦法）第六條及第七條規定，補助自願赴偏遠地區學校服務之校長及教師相關特別獎勵措施經費，特訂定本要點。</w:t>
      </w:r>
    </w:p>
    <w:p>
      <w:pPr>
        <w:pStyle w:val="Style33"/>
        <w:numPr>
          <w:ilvl w:val="0"/>
          <w:numId w:val="0"/>
        </w:numPr>
        <w:snapToGrid w:val="false"/>
        <w:spacing w:lineRule="exact" w:line="400"/>
        <w:ind w:left="720" w:right="0" w:hanging="0"/>
        <w:jc w:val="distribute"/>
        <w:rPr/>
      </w:pPr>
      <w:r>
        <w:rPr>
          <w:rStyle w:val="Style14"/>
          <w:rFonts w:ascii="標楷體" w:hAnsi="標楷體" w:eastAsia="標楷體"/>
          <w:sz w:val="28"/>
          <w:szCs w:val="28"/>
        </w:rPr>
        <w:t>二、補助對象</w:t>
      </w:r>
      <w:r>
        <w:rPr>
          <w:rStyle w:val="Style14"/>
          <w:rFonts w:ascii="新細明體" w:hAnsi="新細明體"/>
          <w:sz w:val="28"/>
          <w:szCs w:val="28"/>
        </w:rPr>
        <w:t>：</w:t>
      </w:r>
    </w:p>
    <w:p>
      <w:pPr>
        <w:pStyle w:val="Web"/>
        <w:shd w:fill="FFFFFF" w:val="clear"/>
        <w:tabs>
          <w:tab w:val="clear" w:pos="480"/>
        </w:tabs>
        <w:spacing w:lineRule="exact" w:line="360" w:before="0" w:after="0"/>
        <w:ind w:left="824" w:right="0" w:hanging="529"/>
        <w:rPr>
          <w:rFonts w:ascii="標楷體" w:hAnsi="標楷體" w:eastAsia="標楷體" w:cs="細明體"/>
          <w:sz w:val="28"/>
          <w:szCs w:val="28"/>
        </w:rPr>
      </w:pPr>
      <w:r>
        <w:rPr>
          <w:rFonts w:eastAsia="標楷體" w:cs="細明體" w:ascii="標楷體" w:hAnsi="標楷體"/>
          <w:sz w:val="28"/>
          <w:szCs w:val="28"/>
        </w:rPr>
        <w:t>(</w:t>
      </w:r>
      <w:r>
        <w:rPr>
          <w:rFonts w:ascii="標楷體" w:hAnsi="標楷體" w:cs="細明體" w:eastAsia="標楷體"/>
          <w:sz w:val="28"/>
          <w:szCs w:val="28"/>
        </w:rPr>
        <w:t>一</w:t>
      </w:r>
      <w:r>
        <w:rPr>
          <w:rFonts w:eastAsia="標楷體" w:cs="細明體" w:ascii="標楷體" w:hAnsi="標楷體"/>
          <w:sz w:val="28"/>
          <w:szCs w:val="28"/>
        </w:rPr>
        <w:t>)</w:t>
      </w:r>
      <w:r>
        <w:rPr>
          <w:rFonts w:ascii="標楷體" w:hAnsi="標楷體" w:cs="細明體" w:eastAsia="標楷體"/>
          <w:sz w:val="28"/>
          <w:szCs w:val="28"/>
        </w:rPr>
        <w:t>教育部主管高級中等學校及國立大學附設（屬）中小學（以下簡稱國立學校）。</w:t>
      </w:r>
    </w:p>
    <w:p>
      <w:pPr>
        <w:pStyle w:val="Web"/>
        <w:shd w:fill="FFFFFF" w:val="clear"/>
        <w:tabs>
          <w:tab w:val="clear" w:pos="480"/>
        </w:tabs>
        <w:spacing w:lineRule="exact" w:line="360" w:before="0" w:after="0"/>
        <w:ind w:left="283" w:right="0" w:hanging="0"/>
        <w:rPr>
          <w:rFonts w:ascii="標楷體" w:hAnsi="標楷體" w:eastAsia="標楷體" w:cs="細明體"/>
          <w:sz w:val="28"/>
          <w:szCs w:val="28"/>
        </w:rPr>
      </w:pPr>
      <w:r>
        <w:rPr>
          <w:rFonts w:eastAsia="標楷體" w:cs="細明體" w:ascii="標楷體" w:hAnsi="標楷體"/>
          <w:sz w:val="28"/>
          <w:szCs w:val="28"/>
        </w:rPr>
        <w:t>(</w:t>
      </w:r>
      <w:r>
        <w:rPr>
          <w:rFonts w:ascii="標楷體" w:hAnsi="標楷體" w:cs="細明體" w:eastAsia="標楷體"/>
          <w:sz w:val="28"/>
          <w:szCs w:val="28"/>
        </w:rPr>
        <w:t>二</w:t>
      </w:r>
      <w:r>
        <w:rPr>
          <w:rFonts w:eastAsia="標楷體" w:cs="細明體" w:ascii="標楷體" w:hAnsi="標楷體"/>
          <w:sz w:val="28"/>
          <w:szCs w:val="28"/>
        </w:rPr>
        <w:t>)</w:t>
      </w:r>
      <w:r>
        <w:rPr>
          <w:rFonts w:ascii="標楷體" w:hAnsi="標楷體" w:cs="細明體" w:eastAsia="標楷體"/>
          <w:sz w:val="28"/>
          <w:szCs w:val="28"/>
        </w:rPr>
        <w:t>直轄市政府教育局、縣（市）政府</w:t>
      </w:r>
      <w:r>
        <w:rPr>
          <w:rFonts w:eastAsia="標楷體" w:cs="細明體" w:ascii="標楷體" w:hAnsi="標楷體"/>
          <w:sz w:val="28"/>
          <w:szCs w:val="28"/>
        </w:rPr>
        <w:t>(</w:t>
      </w:r>
      <w:r>
        <w:rPr>
          <w:rFonts w:ascii="標楷體" w:hAnsi="標楷體" w:cs="細明體" w:eastAsia="標楷體"/>
          <w:sz w:val="28"/>
          <w:szCs w:val="28"/>
        </w:rPr>
        <w:t>以下簡稱地方政府</w:t>
      </w:r>
      <w:r>
        <w:rPr>
          <w:rFonts w:eastAsia="標楷體" w:cs="細明體" w:ascii="標楷體" w:hAnsi="標楷體"/>
          <w:sz w:val="28"/>
          <w:szCs w:val="28"/>
        </w:rPr>
        <w:t>)</w:t>
      </w:r>
      <w:r>
        <w:rPr>
          <w:rFonts w:ascii="標楷體" w:hAnsi="標楷體" w:cs="細明體" w:eastAsia="標楷體"/>
          <w:sz w:val="28"/>
          <w:szCs w:val="28"/>
        </w:rPr>
        <w:t>。</w:t>
      </w:r>
    </w:p>
    <w:p>
      <w:pPr>
        <w:pStyle w:val="Style33"/>
        <w:numPr>
          <w:ilvl w:val="0"/>
          <w:numId w:val="0"/>
        </w:numPr>
        <w:snapToGrid w:val="false"/>
        <w:spacing w:lineRule="exact" w:line="400"/>
        <w:ind w:left="720" w:right="0" w:hanging="0"/>
        <w:jc w:val="distribute"/>
        <w:rPr>
          <w:rFonts w:eastAsia="標楷體"/>
          <w:bCs/>
          <w:color w:val="000000"/>
          <w:kern w:val="0"/>
          <w:sz w:val="28"/>
          <w:szCs w:val="26"/>
        </w:rPr>
      </w:pPr>
      <w:r>
        <w:rPr>
          <w:rFonts w:eastAsia="標楷體"/>
          <w:bCs/>
          <w:color w:val="000000"/>
          <w:kern w:val="0"/>
          <w:sz w:val="28"/>
          <w:szCs w:val="26"/>
        </w:rPr>
        <w:t>三、補助項目：</w:t>
      </w:r>
    </w:p>
    <w:p>
      <w:pPr>
        <w:pStyle w:val="Web"/>
        <w:shd w:fill="FFFFFF" w:val="clear"/>
        <w:tabs>
          <w:tab w:val="clear" w:pos="480"/>
        </w:tabs>
        <w:spacing w:lineRule="exact" w:line="360" w:before="0" w:after="0"/>
        <w:ind w:left="283" w:right="0" w:hanging="0"/>
        <w:rPr>
          <w:rFonts w:ascii="標楷體" w:hAnsi="標楷體" w:eastAsia="標楷體" w:cs="細明體"/>
          <w:sz w:val="28"/>
          <w:szCs w:val="28"/>
        </w:rPr>
      </w:pPr>
      <w:r>
        <w:rPr>
          <w:rFonts w:eastAsia="標楷體" w:cs="細明體" w:ascii="標楷體" w:hAnsi="標楷體"/>
          <w:sz w:val="28"/>
          <w:szCs w:val="28"/>
        </w:rPr>
        <w:t>(</w:t>
      </w:r>
      <w:r>
        <w:rPr>
          <w:rFonts w:ascii="標楷體" w:hAnsi="標楷體" w:cs="細明體" w:eastAsia="標楷體"/>
          <w:sz w:val="28"/>
          <w:szCs w:val="28"/>
        </w:rPr>
        <w:t>一</w:t>
      </w:r>
      <w:r>
        <w:rPr>
          <w:rFonts w:eastAsia="標楷體" w:cs="細明體" w:ascii="標楷體" w:hAnsi="標楷體"/>
          <w:sz w:val="28"/>
          <w:szCs w:val="28"/>
        </w:rPr>
        <w:t>)</w:t>
      </w:r>
      <w:r>
        <w:rPr>
          <w:rFonts w:ascii="標楷體" w:hAnsi="標楷體" w:cs="細明體" w:eastAsia="標楷體"/>
          <w:sz w:val="28"/>
          <w:szCs w:val="28"/>
        </w:rPr>
        <w:t>赴國內外同級學校之參訪費用：</w:t>
      </w:r>
    </w:p>
    <w:p>
      <w:pPr>
        <w:pStyle w:val="Web"/>
        <w:shd w:fill="FFFFFF" w:val="clear"/>
        <w:tabs>
          <w:tab w:val="clear" w:pos="480"/>
        </w:tabs>
        <w:spacing w:lineRule="exact" w:line="360" w:before="0" w:after="0"/>
        <w:ind w:left="-2" w:right="0" w:firstLine="708"/>
        <w:rPr>
          <w:rFonts w:ascii="標楷體" w:hAnsi="標楷體" w:eastAsia="標楷體" w:cs="細明體"/>
          <w:sz w:val="28"/>
          <w:szCs w:val="28"/>
        </w:rPr>
      </w:pPr>
      <w:r>
        <w:rPr>
          <w:rFonts w:eastAsia="標楷體" w:cs="細明體" w:ascii="標楷體" w:hAnsi="標楷體"/>
          <w:sz w:val="28"/>
          <w:szCs w:val="28"/>
        </w:rPr>
        <w:t>1</w:t>
      </w:r>
      <w:r>
        <w:rPr>
          <w:rFonts w:ascii="標楷體" w:hAnsi="標楷體" w:cs="細明體" w:eastAsia="標楷體"/>
          <w:sz w:val="28"/>
          <w:szCs w:val="28"/>
        </w:rPr>
        <w:t>、依國外出差旅費報支要點規定核實支給交通費、生活費及辦公費。</w:t>
      </w:r>
    </w:p>
    <w:p>
      <w:pPr>
        <w:pStyle w:val="Web"/>
        <w:shd w:fill="FFFFFF" w:val="clear"/>
        <w:tabs>
          <w:tab w:val="clear" w:pos="480"/>
        </w:tabs>
        <w:spacing w:lineRule="exact" w:line="360" w:before="0" w:after="0"/>
        <w:ind w:left="1132" w:right="0" w:hanging="426"/>
        <w:rPr>
          <w:rFonts w:ascii="標楷體" w:hAnsi="標楷體" w:eastAsia="標楷體" w:cs="細明體"/>
          <w:sz w:val="28"/>
          <w:szCs w:val="28"/>
        </w:rPr>
      </w:pPr>
      <w:r>
        <w:rPr>
          <w:rFonts w:eastAsia="標楷體" w:cs="細明體" w:ascii="標楷體" w:hAnsi="標楷體"/>
          <w:sz w:val="28"/>
          <w:szCs w:val="28"/>
        </w:rPr>
        <w:t>2</w:t>
      </w:r>
      <w:r>
        <w:rPr>
          <w:rFonts w:ascii="標楷體" w:hAnsi="標楷體" w:cs="細明體" w:eastAsia="標楷體"/>
          <w:sz w:val="28"/>
          <w:szCs w:val="28"/>
        </w:rPr>
        <w:t>、依國內出差旅費報支要點規定及學校內部規定核實支給交通費、住宿費、雜費。</w:t>
      </w:r>
    </w:p>
    <w:p>
      <w:pPr>
        <w:pStyle w:val="Web"/>
        <w:shd w:fill="FFFFFF" w:val="clear"/>
        <w:tabs>
          <w:tab w:val="clear" w:pos="480"/>
        </w:tabs>
        <w:spacing w:lineRule="exact" w:line="360" w:before="0" w:after="0"/>
        <w:ind w:left="283" w:right="0" w:hanging="0"/>
        <w:rPr/>
      </w:pPr>
      <w:r>
        <w:rPr>
          <w:rStyle w:val="Style14"/>
          <w:rFonts w:eastAsia="標楷體" w:ascii="標楷體" w:hAnsi="標楷體"/>
          <w:sz w:val="28"/>
          <w:szCs w:val="28"/>
        </w:rPr>
        <w:t>(</w:t>
      </w:r>
      <w:r>
        <w:rPr>
          <w:rStyle w:val="Style14"/>
          <w:rFonts w:ascii="標楷體" w:hAnsi="標楷體" w:eastAsia="標楷體"/>
          <w:sz w:val="28"/>
          <w:szCs w:val="28"/>
        </w:rPr>
        <w:t>二</w:t>
      </w:r>
      <w:r>
        <w:rPr>
          <w:rStyle w:val="Style14"/>
          <w:rFonts w:eastAsia="標楷體" w:ascii="標楷體" w:hAnsi="標楷體"/>
          <w:sz w:val="28"/>
          <w:szCs w:val="28"/>
        </w:rPr>
        <w:t>)</w:t>
      </w:r>
      <w:r>
        <w:rPr>
          <w:rStyle w:val="Style14"/>
          <w:rFonts w:ascii="標楷體" w:hAnsi="標楷體" w:eastAsia="標楷體"/>
          <w:sz w:val="28"/>
          <w:szCs w:val="28"/>
        </w:rPr>
        <w:t>投保傷害保險之保險費用：</w:t>
      </w:r>
    </w:p>
    <w:p>
      <w:pPr>
        <w:pStyle w:val="Web"/>
        <w:shd w:fill="FFFFFF" w:val="clear"/>
        <w:tabs>
          <w:tab w:val="clear" w:pos="480"/>
        </w:tabs>
        <w:spacing w:lineRule="exact" w:line="360" w:before="0" w:after="0"/>
        <w:ind w:left="1070" w:right="0" w:hanging="328"/>
        <w:rPr/>
      </w:pPr>
      <w:r>
        <w:rPr>
          <w:rStyle w:val="Style14"/>
          <w:rFonts w:eastAsia="標楷體" w:ascii="標楷體" w:hAnsi="標楷體"/>
          <w:sz w:val="28"/>
          <w:szCs w:val="28"/>
        </w:rPr>
        <w:t>1</w:t>
      </w:r>
      <w:r>
        <w:rPr>
          <w:rStyle w:val="Style14"/>
          <w:rFonts w:ascii="標楷體" w:hAnsi="標楷體" w:eastAsia="標楷體"/>
          <w:sz w:val="28"/>
          <w:szCs w:val="28"/>
        </w:rPr>
        <w:t>、</w:t>
      </w:r>
      <w:r>
        <w:rPr>
          <w:rStyle w:val="Style14"/>
          <w:rFonts w:ascii="標楷體" w:hAnsi="標楷體" w:cs="細明體" w:eastAsia="標楷體"/>
          <w:sz w:val="28"/>
          <w:szCs w:val="28"/>
        </w:rPr>
        <w:t>偏遠地區學校：每人每年保險金額新臺幣</w:t>
      </w:r>
      <w:r>
        <w:rPr>
          <w:rStyle w:val="Style14"/>
          <w:rFonts w:eastAsia="標楷體" w:cs="細明體" w:ascii="標楷體" w:hAnsi="標楷體"/>
          <w:sz w:val="28"/>
          <w:szCs w:val="28"/>
        </w:rPr>
        <w:t>(</w:t>
      </w:r>
      <w:r>
        <w:rPr>
          <w:rStyle w:val="Style14"/>
          <w:rFonts w:ascii="標楷體" w:hAnsi="標楷體" w:cs="細明體" w:eastAsia="標楷體"/>
          <w:sz w:val="28"/>
          <w:szCs w:val="28"/>
        </w:rPr>
        <w:t>以下同</w:t>
      </w:r>
      <w:r>
        <w:rPr>
          <w:rStyle w:val="Style14"/>
          <w:rFonts w:eastAsia="標楷體" w:cs="細明體" w:ascii="標楷體" w:hAnsi="標楷體"/>
          <w:sz w:val="28"/>
          <w:szCs w:val="28"/>
        </w:rPr>
        <w:t>)</w:t>
      </w:r>
      <w:r>
        <w:rPr>
          <w:rStyle w:val="Style14"/>
          <w:rFonts w:ascii="標楷體" w:hAnsi="標楷體" w:cs="細明體" w:eastAsia="標楷體"/>
          <w:sz w:val="28"/>
          <w:szCs w:val="28"/>
        </w:rPr>
        <w:t>二百萬元。</w:t>
      </w:r>
    </w:p>
    <w:p>
      <w:pPr>
        <w:pStyle w:val="Web"/>
        <w:shd w:fill="FFFFFF" w:val="clear"/>
        <w:tabs>
          <w:tab w:val="clear" w:pos="480"/>
        </w:tabs>
        <w:spacing w:lineRule="exact" w:line="360" w:before="0" w:after="0"/>
        <w:ind w:left="1070" w:right="0" w:hanging="328"/>
        <w:rPr>
          <w:rFonts w:ascii="標楷體" w:hAnsi="標楷體" w:eastAsia="標楷體" w:cs="細明體"/>
          <w:sz w:val="28"/>
          <w:szCs w:val="28"/>
        </w:rPr>
      </w:pPr>
      <w:r>
        <w:rPr>
          <w:rFonts w:eastAsia="標楷體" w:cs="細明體" w:ascii="標楷體" w:hAnsi="標楷體"/>
          <w:sz w:val="28"/>
          <w:szCs w:val="28"/>
        </w:rPr>
        <w:t>2</w:t>
      </w:r>
      <w:r>
        <w:rPr>
          <w:rFonts w:ascii="標楷體" w:hAnsi="標楷體" w:cs="細明體" w:eastAsia="標楷體"/>
          <w:sz w:val="28"/>
          <w:szCs w:val="28"/>
        </w:rPr>
        <w:t>、特殊偏遠地區學校：每人每年保險金額三百萬元。</w:t>
      </w:r>
    </w:p>
    <w:p>
      <w:pPr>
        <w:pStyle w:val="Style33"/>
        <w:snapToGrid w:val="false"/>
        <w:spacing w:lineRule="exact" w:line="400"/>
        <w:ind w:left="720" w:right="0" w:hanging="0"/>
        <w:jc w:val="distribute"/>
        <w:rPr/>
      </w:pPr>
      <w:r>
        <w:rPr>
          <w:rStyle w:val="Style14"/>
          <w:rFonts w:eastAsia="標楷體" w:cs="細明體" w:ascii="標楷體" w:hAnsi="標楷體"/>
          <w:sz w:val="28"/>
          <w:szCs w:val="28"/>
        </w:rPr>
        <w:t>3</w:t>
      </w:r>
      <w:r>
        <w:rPr>
          <w:rStyle w:val="Style14"/>
          <w:rFonts w:ascii="標楷體" w:hAnsi="標楷體" w:cs="細明體" w:eastAsia="標楷體"/>
          <w:sz w:val="28"/>
          <w:szCs w:val="28"/>
        </w:rPr>
        <w:t>、極度偏遠地區學校：每人每年保險金額五百萬元。</w:t>
      </w:r>
    </w:p>
    <w:p>
      <w:pPr>
        <w:pStyle w:val="Style33"/>
        <w:numPr>
          <w:ilvl w:val="0"/>
          <w:numId w:val="0"/>
        </w:numPr>
        <w:snapToGrid w:val="false"/>
        <w:spacing w:lineRule="exact" w:line="400"/>
        <w:ind w:left="720" w:right="0" w:hanging="0"/>
        <w:jc w:val="distribute"/>
        <w:rPr/>
      </w:pPr>
      <w:r>
        <w:rPr>
          <w:rStyle w:val="Style14"/>
          <w:rFonts w:ascii="標楷體" w:hAnsi="標楷體" w:cs="細明體" w:eastAsia="標楷體"/>
          <w:kern w:val="0"/>
          <w:sz w:val="28"/>
          <w:szCs w:val="28"/>
        </w:rPr>
        <w:t>四、補助原則及比率</w:t>
      </w:r>
      <w:r>
        <w:rPr>
          <w:rStyle w:val="Style14"/>
          <w:rFonts w:ascii="新細明體" w:hAnsi="新細明體" w:cs="細明體"/>
          <w:kern w:val="0"/>
          <w:sz w:val="28"/>
          <w:szCs w:val="28"/>
        </w:rPr>
        <w:t>：</w:t>
      </w:r>
    </w:p>
    <w:p>
      <w:pPr>
        <w:pStyle w:val="Style24"/>
        <w:tabs>
          <w:tab w:val="clear" w:pos="480"/>
          <w:tab w:val="left" w:pos="1080" w:leader="none"/>
        </w:tabs>
        <w:snapToGrid w:val="false"/>
        <w:spacing w:lineRule="exact" w:line="400"/>
        <w:ind w:left="0" w:right="0" w:firstLine="283"/>
        <w:jc w:val="distribute"/>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一</w:t>
      </w:r>
      <w:r>
        <w:rPr>
          <w:rFonts w:eastAsia="標楷體" w:ascii="標楷體" w:hAnsi="標楷體"/>
          <w:sz w:val="28"/>
          <w:szCs w:val="28"/>
        </w:rPr>
        <w:t>)</w:t>
      </w:r>
      <w:r>
        <w:rPr>
          <w:rFonts w:ascii="標楷體" w:hAnsi="標楷體" w:eastAsia="標楷體"/>
          <w:sz w:val="28"/>
          <w:szCs w:val="28"/>
        </w:rPr>
        <w:t>國立學校：全額補助。</w:t>
      </w:r>
    </w:p>
    <w:p>
      <w:pPr>
        <w:pStyle w:val="Style24"/>
        <w:tabs>
          <w:tab w:val="clear" w:pos="480"/>
        </w:tabs>
        <w:snapToGrid w:val="false"/>
        <w:spacing w:lineRule="exact" w:line="400"/>
        <w:ind w:left="849" w:right="0" w:hanging="563"/>
        <w:jc w:val="distribute"/>
        <w:rPr>
          <w:rFonts w:ascii="標楷體" w:hAnsi="標楷體" w:eastAsia="標楷體"/>
          <w:sz w:val="28"/>
          <w:szCs w:val="28"/>
        </w:rPr>
      </w:pPr>
      <w:r>
        <w:rPr>
          <w:rFonts w:eastAsia="標楷體" w:ascii="標楷體" w:hAnsi="標楷體"/>
          <w:sz w:val="28"/>
          <w:szCs w:val="28"/>
        </w:rPr>
        <w:t>(</w:t>
      </w:r>
      <w:r>
        <w:rPr>
          <w:rFonts w:ascii="標楷體" w:hAnsi="標楷體" w:eastAsia="標楷體"/>
          <w:sz w:val="28"/>
          <w:szCs w:val="28"/>
        </w:rPr>
        <w:t>二</w:t>
      </w:r>
      <w:r>
        <w:rPr>
          <w:rFonts w:eastAsia="標楷體" w:ascii="標楷體" w:hAnsi="標楷體"/>
          <w:sz w:val="28"/>
          <w:szCs w:val="28"/>
        </w:rPr>
        <w:t>)</w:t>
      </w:r>
      <w:r>
        <w:rPr>
          <w:rFonts w:ascii="標楷體" w:hAnsi="標楷體" w:eastAsia="標楷體"/>
          <w:sz w:val="28"/>
          <w:szCs w:val="28"/>
        </w:rPr>
        <w:t>地方政府：依中央對直轄市縣（市）政府補助辦法規定、學校級別、各地方政府財力級次，及配合教育部獲配年度預算額度，給予不同補助比率：</w:t>
      </w:r>
    </w:p>
    <w:p>
      <w:pPr>
        <w:pStyle w:val="Style33"/>
        <w:snapToGrid w:val="false"/>
        <w:spacing w:lineRule="exact" w:line="400"/>
        <w:ind w:left="720" w:right="0" w:hanging="0"/>
        <w:jc w:val="distribute"/>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、財力第一級者：最高補助比率為百分之八十六。</w:t>
      </w:r>
    </w:p>
    <w:p>
      <w:pPr>
        <w:pStyle w:val="Style33"/>
        <w:snapToGrid w:val="false"/>
        <w:spacing w:lineRule="exact" w:line="400"/>
        <w:ind w:left="720" w:right="0" w:hanging="0"/>
        <w:jc w:val="distribute"/>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、財力第二級者：最高補助比率為百分之八十七。</w:t>
      </w:r>
    </w:p>
    <w:p>
      <w:pPr>
        <w:pStyle w:val="Style33"/>
        <w:snapToGrid w:val="false"/>
        <w:spacing w:lineRule="exact" w:line="400"/>
        <w:ind w:left="720" w:right="0" w:hanging="0"/>
        <w:jc w:val="distribute"/>
        <w:rPr>
          <w:rFonts w:ascii="標楷體" w:hAnsi="標楷體" w:eastAsia="標楷體"/>
          <w:sz w:val="28"/>
          <w:szCs w:val="28"/>
        </w:rPr>
      </w:pPr>
      <w:r>
        <w:rPr>
          <w:rFonts w:eastAsia="標楷體" w:ascii="標楷體" w:hAnsi="標楷體"/>
          <w:sz w:val="28"/>
          <w:szCs w:val="28"/>
        </w:rPr>
        <w:t>3</w:t>
      </w:r>
      <w:r>
        <w:rPr>
          <w:rFonts w:ascii="標楷體" w:hAnsi="標楷體" w:eastAsia="標楷體"/>
          <w:sz w:val="28"/>
          <w:szCs w:val="28"/>
        </w:rPr>
        <w:t>、財力第三級者：最高補助比率為百分之八十八。</w:t>
      </w:r>
    </w:p>
    <w:p>
      <w:pPr>
        <w:pStyle w:val="Style33"/>
        <w:snapToGrid w:val="false"/>
        <w:spacing w:lineRule="exact" w:line="400"/>
        <w:ind w:left="720" w:right="0" w:hanging="0"/>
        <w:jc w:val="distribute"/>
        <w:rPr>
          <w:rFonts w:ascii="標楷體" w:hAnsi="標楷體" w:eastAsia="標楷體"/>
          <w:sz w:val="28"/>
          <w:szCs w:val="28"/>
        </w:rPr>
      </w:pPr>
      <w:r>
        <w:rPr>
          <w:rFonts w:eastAsia="標楷體" w:ascii="標楷體" w:hAnsi="標楷體"/>
          <w:sz w:val="28"/>
          <w:szCs w:val="28"/>
        </w:rPr>
        <w:t>4</w:t>
      </w:r>
      <w:r>
        <w:rPr>
          <w:rFonts w:ascii="標楷體" w:hAnsi="標楷體" w:eastAsia="標楷體"/>
          <w:sz w:val="28"/>
          <w:szCs w:val="28"/>
        </w:rPr>
        <w:t>、財力第四級者：最高補助比率為百分之八十九。</w:t>
      </w:r>
    </w:p>
    <w:p>
      <w:pPr>
        <w:pStyle w:val="Style33"/>
        <w:snapToGrid w:val="false"/>
        <w:spacing w:lineRule="exact" w:line="400"/>
        <w:ind w:left="720" w:right="0" w:hanging="0"/>
        <w:jc w:val="distribute"/>
        <w:rPr>
          <w:rFonts w:ascii="標楷體" w:hAnsi="標楷體" w:eastAsia="標楷體"/>
          <w:sz w:val="28"/>
          <w:szCs w:val="28"/>
        </w:rPr>
      </w:pPr>
      <w:r>
        <w:rPr>
          <w:rFonts w:eastAsia="標楷體" w:ascii="標楷體" w:hAnsi="標楷體"/>
          <w:sz w:val="28"/>
          <w:szCs w:val="28"/>
        </w:rPr>
        <w:t>5</w:t>
      </w:r>
      <w:r>
        <w:rPr>
          <w:rFonts w:ascii="標楷體" w:hAnsi="標楷體" w:eastAsia="標楷體"/>
          <w:sz w:val="28"/>
          <w:szCs w:val="28"/>
        </w:rPr>
        <w:t>、</w:t>
      </w:r>
      <w:r>
        <w:rPr>
          <w:rFonts w:ascii="標楷體" w:hAnsi="標楷體" w:eastAsia="標楷體"/>
          <w:sz w:val="28"/>
          <w:szCs w:val="28"/>
        </w:rPr>
        <w:t>財力第五級者：最高補助比率為百分之九十。</w:t>
      </w:r>
    </w:p>
    <w:p>
      <w:pPr>
        <w:pStyle w:val="Style24"/>
        <w:tabs>
          <w:tab w:val="clear" w:pos="480"/>
        </w:tabs>
        <w:snapToGrid w:val="false"/>
        <w:spacing w:lineRule="exact" w:line="400"/>
        <w:ind w:left="824" w:right="0" w:hanging="538"/>
        <w:jc w:val="distribute"/>
        <w:rPr/>
      </w:pPr>
      <w:r>
        <w:rPr>
          <w:rStyle w:val="Style14"/>
          <w:rFonts w:eastAsia="標楷體" w:cs="細明體" w:ascii="標楷體" w:hAnsi="標楷體"/>
          <w:sz w:val="28"/>
          <w:szCs w:val="28"/>
        </w:rPr>
        <w:t>(</w:t>
      </w:r>
      <w:r>
        <w:rPr>
          <w:rStyle w:val="Style14"/>
          <w:rFonts w:ascii="標楷體" w:hAnsi="標楷體" w:cs="細明體" w:eastAsia="標楷體"/>
          <w:sz w:val="28"/>
          <w:szCs w:val="28"/>
        </w:rPr>
        <w:t>三</w:t>
      </w:r>
      <w:r>
        <w:rPr>
          <w:rStyle w:val="Style14"/>
          <w:rFonts w:eastAsia="標楷體" w:cs="細明體" w:ascii="標楷體" w:hAnsi="標楷體"/>
          <w:sz w:val="28"/>
          <w:szCs w:val="28"/>
        </w:rPr>
        <w:t>)</w:t>
      </w:r>
      <w:r>
        <w:rPr>
          <w:rStyle w:val="Style14"/>
          <w:rFonts w:ascii="標楷體" w:hAnsi="標楷體" w:cs="細明體" w:eastAsia="標楷體"/>
          <w:sz w:val="28"/>
          <w:szCs w:val="28"/>
        </w:rPr>
        <w:t>本署得視預算編列情形、地方政府財政狀況、前一年度執行成效或其他特殊需要調整補助額度。</w:t>
      </w:r>
    </w:p>
    <w:p>
      <w:pPr>
        <w:pStyle w:val="Style33"/>
        <w:numPr>
          <w:ilvl w:val="0"/>
          <w:numId w:val="0"/>
        </w:numPr>
        <w:snapToGrid w:val="false"/>
        <w:spacing w:lineRule="exact" w:line="400"/>
        <w:ind w:left="720" w:right="0" w:hanging="0"/>
        <w:jc w:val="distribute"/>
        <w:rPr/>
      </w:pPr>
      <w:r>
        <w:rPr>
          <w:rStyle w:val="Style14"/>
          <w:rFonts w:ascii="標楷體" w:hAnsi="標楷體" w:eastAsia="標楷體"/>
          <w:sz w:val="28"/>
          <w:szCs w:val="28"/>
        </w:rPr>
        <w:t>五、申請及審查作業</w:t>
      </w:r>
      <w:r>
        <w:rPr>
          <w:rStyle w:val="Style14"/>
          <w:rFonts w:ascii="新細明體" w:hAnsi="新細明體" w:cs="細明體"/>
          <w:kern w:val="0"/>
          <w:sz w:val="28"/>
          <w:szCs w:val="28"/>
        </w:rPr>
        <w:t>：</w:t>
      </w:r>
    </w:p>
    <w:p>
      <w:pPr>
        <w:pStyle w:val="Style33"/>
        <w:snapToGrid w:val="false"/>
        <w:spacing w:lineRule="exact" w:line="400"/>
        <w:ind w:left="0" w:right="0" w:firstLine="479"/>
        <w:jc w:val="distribute"/>
        <w:rPr/>
      </w:pPr>
      <w:r>
        <w:rPr>
          <w:rStyle w:val="Style14"/>
          <w:rFonts w:eastAsia="標楷體" w:ascii="標楷體" w:hAnsi="標楷體"/>
          <w:sz w:val="28"/>
          <w:szCs w:val="28"/>
        </w:rPr>
        <w:t>(</w:t>
      </w:r>
      <w:r>
        <w:rPr>
          <w:rStyle w:val="Style14"/>
          <w:rFonts w:ascii="標楷體" w:hAnsi="標楷體" w:eastAsia="標楷體"/>
          <w:sz w:val="28"/>
          <w:szCs w:val="28"/>
        </w:rPr>
        <w:t>一</w:t>
      </w:r>
      <w:r>
        <w:rPr>
          <w:rStyle w:val="Style14"/>
          <w:rFonts w:eastAsia="標楷體" w:ascii="標楷體" w:hAnsi="標楷體"/>
          <w:sz w:val="28"/>
          <w:szCs w:val="28"/>
        </w:rPr>
        <w:t>)</w:t>
      </w:r>
      <w:r>
        <w:rPr>
          <w:rStyle w:val="Style14"/>
          <w:rFonts w:ascii="標楷體" w:hAnsi="標楷體" w:eastAsia="標楷體"/>
          <w:sz w:val="28"/>
          <w:szCs w:val="28"/>
        </w:rPr>
        <w:t>申請</w:t>
      </w:r>
      <w:r>
        <w:rPr>
          <w:rStyle w:val="Style14"/>
          <w:rFonts w:ascii="新細明體" w:hAnsi="新細明體"/>
          <w:sz w:val="28"/>
          <w:szCs w:val="28"/>
        </w:rPr>
        <w:t>：</w:t>
      </w:r>
    </w:p>
    <w:p>
      <w:pPr>
        <w:pStyle w:val="Style33"/>
        <w:snapToGrid w:val="false"/>
        <w:spacing w:lineRule="exact" w:line="400"/>
        <w:ind w:left="1132" w:right="0" w:hanging="426"/>
        <w:jc w:val="distribute"/>
        <w:rPr>
          <w:rFonts w:ascii="標楷體" w:hAnsi="標楷體" w:eastAsia="標楷體" w:cs="細明體"/>
          <w:sz w:val="28"/>
          <w:szCs w:val="28"/>
        </w:rPr>
      </w:pPr>
      <w:r>
        <w:rPr>
          <w:rFonts w:eastAsia="標楷體" w:cs="細明體" w:ascii="標楷體" w:hAnsi="標楷體"/>
          <w:sz w:val="28"/>
          <w:szCs w:val="28"/>
        </w:rPr>
        <w:t>1</w:t>
      </w:r>
      <w:r>
        <w:rPr>
          <w:rFonts w:ascii="標楷體" w:hAnsi="標楷體" w:cs="細明體" w:eastAsia="標楷體"/>
          <w:sz w:val="28"/>
          <w:szCs w:val="28"/>
        </w:rPr>
        <w:t>、國立學校：依本署規定作業方式、期程，提列參訪費用及保險費用年度經費需求報本署審查。</w:t>
      </w:r>
    </w:p>
    <w:p>
      <w:pPr>
        <w:pStyle w:val="Style33"/>
        <w:snapToGrid w:val="false"/>
        <w:spacing w:lineRule="exact" w:line="400"/>
        <w:ind w:left="1132" w:right="0" w:hanging="426"/>
        <w:jc w:val="distribute"/>
        <w:rPr>
          <w:rFonts w:ascii="標楷體" w:hAnsi="標楷體" w:eastAsia="標楷體" w:cs="細明體"/>
          <w:sz w:val="28"/>
          <w:szCs w:val="28"/>
        </w:rPr>
      </w:pPr>
      <w:r>
        <w:rPr>
          <w:rFonts w:eastAsia="標楷體" w:cs="細明體" w:ascii="標楷體" w:hAnsi="標楷體"/>
          <w:sz w:val="28"/>
          <w:szCs w:val="28"/>
        </w:rPr>
        <w:t>2</w:t>
      </w:r>
      <w:r>
        <w:rPr>
          <w:rFonts w:ascii="標楷體" w:hAnsi="標楷體" w:cs="細明體" w:eastAsia="標楷體"/>
          <w:sz w:val="28"/>
          <w:szCs w:val="28"/>
        </w:rPr>
        <w:t>、地方政府：地方政府辦理所轄公立高級中等以下學校校長及教師參訪費用及保險費用補助經費之調查、初審及彙整作業，並依本署規定作業方式、期程，提列參訪費用及保險費用年度經費需求報本署審查。</w:t>
      </w:r>
    </w:p>
    <w:p>
      <w:pPr>
        <w:pStyle w:val="Style33"/>
        <w:snapToGrid w:val="false"/>
        <w:spacing w:lineRule="exact" w:line="400"/>
        <w:ind w:left="1919" w:right="0" w:hanging="1439"/>
        <w:jc w:val="distribute"/>
        <w:rPr/>
      </w:pPr>
      <w:r>
        <w:rPr>
          <w:rStyle w:val="Style14"/>
          <w:rFonts w:eastAsia="標楷體" w:ascii="標楷體" w:hAnsi="標楷體"/>
          <w:sz w:val="28"/>
          <w:szCs w:val="28"/>
        </w:rPr>
        <w:t>(</w:t>
      </w:r>
      <w:r>
        <w:rPr>
          <w:rStyle w:val="Style14"/>
          <w:rFonts w:ascii="標楷體" w:hAnsi="標楷體" w:eastAsia="標楷體"/>
          <w:sz w:val="28"/>
          <w:szCs w:val="28"/>
        </w:rPr>
        <w:t>二</w:t>
      </w:r>
      <w:r>
        <w:rPr>
          <w:rStyle w:val="Style14"/>
          <w:rFonts w:eastAsia="標楷體" w:ascii="標楷體" w:hAnsi="標楷體"/>
          <w:sz w:val="28"/>
          <w:szCs w:val="28"/>
        </w:rPr>
        <w:t>)</w:t>
      </w:r>
      <w:r>
        <w:rPr>
          <w:rStyle w:val="Style14"/>
          <w:rFonts w:ascii="標楷體" w:hAnsi="標楷體" w:eastAsia="標楷體"/>
          <w:sz w:val="28"/>
          <w:szCs w:val="28"/>
        </w:rPr>
        <w:t>審查</w:t>
      </w:r>
      <w:r>
        <w:rPr>
          <w:rStyle w:val="Style14"/>
          <w:rFonts w:ascii="新細明體" w:hAnsi="新細明體"/>
          <w:sz w:val="28"/>
          <w:szCs w:val="28"/>
        </w:rPr>
        <w:t>：</w:t>
      </w:r>
      <w:r>
        <w:rPr>
          <w:rStyle w:val="Style14"/>
          <w:rFonts w:ascii="標楷體" w:hAnsi="標楷體" w:cs="細明體" w:eastAsia="標楷體"/>
          <w:sz w:val="28"/>
          <w:szCs w:val="28"/>
        </w:rPr>
        <w:t>各補助項目由本署辦理書面審查及經費核定。本署於審查完竣後，將結果通知國立學校及地方政府。</w:t>
      </w:r>
    </w:p>
    <w:p>
      <w:pPr>
        <w:pStyle w:val="Style33"/>
        <w:numPr>
          <w:ilvl w:val="0"/>
          <w:numId w:val="0"/>
        </w:numPr>
        <w:snapToGrid w:val="false"/>
        <w:spacing w:lineRule="exact" w:line="400"/>
        <w:ind w:left="720" w:right="0" w:hanging="0"/>
        <w:jc w:val="distribute"/>
        <w:rPr/>
      </w:pPr>
      <w:r>
        <w:rPr>
          <w:rStyle w:val="Style14"/>
          <w:rFonts w:ascii="標楷體" w:hAnsi="標楷體" w:eastAsia="標楷體"/>
          <w:sz w:val="28"/>
          <w:szCs w:val="28"/>
        </w:rPr>
        <w:t>六、經費請撥及核銷</w:t>
      </w:r>
      <w:r>
        <w:rPr>
          <w:rStyle w:val="Style14"/>
          <w:rFonts w:ascii="新細明體" w:hAnsi="新細明體" w:cs="細明體"/>
          <w:kern w:val="0"/>
          <w:sz w:val="28"/>
          <w:szCs w:val="28"/>
        </w:rPr>
        <w:t>：</w:t>
      </w:r>
    </w:p>
    <w:p>
      <w:pPr>
        <w:pStyle w:val="Style33"/>
        <w:snapToGrid w:val="false"/>
        <w:spacing w:lineRule="exact" w:line="400"/>
        <w:ind w:left="0" w:right="0" w:firstLine="479"/>
        <w:jc w:val="distribute"/>
        <w:rPr/>
      </w:pPr>
      <w:r>
        <w:rPr>
          <w:rStyle w:val="Style14"/>
          <w:rFonts w:eastAsia="標楷體" w:ascii="標楷體" w:hAnsi="標楷體"/>
          <w:sz w:val="28"/>
          <w:szCs w:val="28"/>
        </w:rPr>
        <w:t>(</w:t>
      </w:r>
      <w:r>
        <w:rPr>
          <w:rStyle w:val="Style14"/>
          <w:rFonts w:ascii="標楷體" w:hAnsi="標楷體" w:eastAsia="標楷體"/>
          <w:sz w:val="28"/>
          <w:szCs w:val="28"/>
        </w:rPr>
        <w:t>一</w:t>
      </w:r>
      <w:r>
        <w:rPr>
          <w:rStyle w:val="Style14"/>
          <w:rFonts w:eastAsia="標楷體" w:ascii="標楷體" w:hAnsi="標楷體"/>
          <w:sz w:val="28"/>
          <w:szCs w:val="28"/>
        </w:rPr>
        <w:t>)</w:t>
      </w:r>
      <w:r>
        <w:rPr>
          <w:rStyle w:val="Style14"/>
          <w:rFonts w:ascii="標楷體" w:hAnsi="標楷體" w:eastAsia="標楷體"/>
          <w:sz w:val="28"/>
          <w:szCs w:val="28"/>
        </w:rPr>
        <w:t>經費請撥</w:t>
      </w:r>
      <w:r>
        <w:rPr>
          <w:rStyle w:val="Style14"/>
          <w:rFonts w:ascii="新細明體" w:hAnsi="新細明體" w:cs="細明體"/>
          <w:kern w:val="0"/>
          <w:sz w:val="28"/>
          <w:szCs w:val="28"/>
        </w:rPr>
        <w:t>：</w:t>
      </w:r>
    </w:p>
    <w:p>
      <w:pPr>
        <w:pStyle w:val="Web"/>
        <w:shd w:fill="FFFFFF" w:val="clear"/>
        <w:spacing w:lineRule="exact" w:line="360" w:before="0" w:after="0"/>
        <w:ind w:left="0" w:right="0" w:firstLine="720"/>
        <w:rPr>
          <w:rFonts w:ascii="標楷體" w:hAnsi="標楷體" w:eastAsia="標楷體"/>
          <w:sz w:val="28"/>
          <w:szCs w:val="28"/>
        </w:rPr>
      </w:pPr>
      <w:r>
        <w:rPr>
          <w:rFonts w:eastAsia="標楷體" w:ascii="標楷體" w:hAnsi="標楷體"/>
          <w:sz w:val="28"/>
          <w:szCs w:val="28"/>
        </w:rPr>
        <w:t>1</w:t>
      </w:r>
      <w:r>
        <w:rPr>
          <w:rFonts w:ascii="標楷體" w:hAnsi="標楷體" w:eastAsia="標楷體"/>
          <w:sz w:val="28"/>
          <w:szCs w:val="28"/>
        </w:rPr>
        <w:t>、國立學校：每年度依核定經費撥付。</w:t>
      </w:r>
    </w:p>
    <w:p>
      <w:pPr>
        <w:pStyle w:val="Web"/>
        <w:shd w:fill="FFFFFF" w:val="clear"/>
        <w:spacing w:lineRule="exact" w:line="360" w:before="0" w:after="0"/>
        <w:ind w:left="0" w:right="0" w:firstLine="720"/>
        <w:rPr>
          <w:rFonts w:ascii="標楷體" w:hAnsi="標楷體" w:eastAsia="標楷體"/>
          <w:sz w:val="28"/>
          <w:szCs w:val="28"/>
        </w:rPr>
      </w:pPr>
      <w:r>
        <w:rPr>
          <w:rFonts w:eastAsia="標楷體" w:ascii="標楷體" w:hAnsi="標楷體"/>
          <w:sz w:val="28"/>
          <w:szCs w:val="28"/>
        </w:rPr>
        <w:t>2</w:t>
      </w:r>
      <w:r>
        <w:rPr>
          <w:rFonts w:ascii="標楷體" w:hAnsi="標楷體" w:eastAsia="標楷體"/>
          <w:sz w:val="28"/>
          <w:szCs w:val="28"/>
        </w:rPr>
        <w:t>、地方政府：每年度依核定經費撥付。</w:t>
      </w:r>
    </w:p>
    <w:p>
      <w:pPr>
        <w:pStyle w:val="Style33"/>
        <w:snapToGrid w:val="false"/>
        <w:spacing w:lineRule="exact" w:line="400"/>
        <w:ind w:left="2401" w:right="0" w:hanging="1921"/>
        <w:jc w:val="distribute"/>
        <w:rPr/>
      </w:pPr>
      <w:r>
        <w:rPr>
          <w:rStyle w:val="Style14"/>
          <w:rFonts w:eastAsia="標楷體" w:ascii="標楷體" w:hAnsi="標楷體"/>
          <w:sz w:val="28"/>
          <w:szCs w:val="28"/>
        </w:rPr>
        <w:t>(</w:t>
      </w:r>
      <w:r>
        <w:rPr>
          <w:rStyle w:val="Style14"/>
          <w:rFonts w:ascii="標楷體" w:hAnsi="標楷體" w:eastAsia="標楷體"/>
          <w:sz w:val="28"/>
          <w:szCs w:val="28"/>
        </w:rPr>
        <w:t>二</w:t>
      </w:r>
      <w:r>
        <w:rPr>
          <w:rStyle w:val="Style14"/>
          <w:rFonts w:eastAsia="標楷體" w:ascii="標楷體" w:hAnsi="標楷體"/>
          <w:sz w:val="28"/>
          <w:szCs w:val="28"/>
        </w:rPr>
        <w:t>)</w:t>
      </w:r>
      <w:r>
        <w:rPr>
          <w:rStyle w:val="Style14"/>
          <w:rFonts w:ascii="標楷體" w:hAnsi="標楷體" w:eastAsia="標楷體"/>
          <w:sz w:val="28"/>
          <w:szCs w:val="28"/>
        </w:rPr>
        <w:t>經費核銷</w:t>
      </w:r>
      <w:r>
        <w:rPr>
          <w:rStyle w:val="Style14"/>
          <w:rFonts w:ascii="新細明體" w:hAnsi="新細明體" w:cs="細明體"/>
          <w:kern w:val="0"/>
          <w:sz w:val="28"/>
          <w:szCs w:val="28"/>
        </w:rPr>
        <w:t>：</w:t>
      </w:r>
      <w:r>
        <w:rPr>
          <w:rStyle w:val="Style14"/>
          <w:rFonts w:ascii="標楷體" w:hAnsi="標楷體" w:eastAsia="標楷體"/>
          <w:sz w:val="28"/>
          <w:szCs w:val="28"/>
        </w:rPr>
        <w:t>國立學校及地方政府應於辦理完竣後二個月內，依本署規定辦理核結事宜。</w:t>
      </w:r>
    </w:p>
    <w:p>
      <w:pPr>
        <w:pStyle w:val="Style33"/>
        <w:snapToGrid w:val="false"/>
        <w:spacing w:lineRule="exact" w:line="400"/>
        <w:ind w:left="0" w:right="0" w:firstLine="479"/>
        <w:jc w:val="distribute"/>
        <w:rPr/>
      </w:pPr>
      <w:r>
        <w:rPr>
          <w:rStyle w:val="Style14"/>
          <w:rFonts w:eastAsia="標楷體" w:ascii="標楷體" w:hAnsi="標楷體"/>
          <w:sz w:val="28"/>
          <w:szCs w:val="28"/>
        </w:rPr>
        <w:t>(</w:t>
      </w:r>
      <w:r>
        <w:rPr>
          <w:rStyle w:val="Style14"/>
          <w:rFonts w:ascii="標楷體" w:hAnsi="標楷體" w:eastAsia="標楷體"/>
          <w:sz w:val="28"/>
          <w:szCs w:val="28"/>
        </w:rPr>
        <w:t>三</w:t>
      </w:r>
      <w:r>
        <w:rPr>
          <w:rStyle w:val="Style14"/>
          <w:rFonts w:eastAsia="標楷體" w:ascii="標楷體" w:hAnsi="標楷體"/>
          <w:sz w:val="28"/>
          <w:szCs w:val="28"/>
        </w:rPr>
        <w:t>)</w:t>
      </w:r>
      <w:r>
        <w:rPr>
          <w:rStyle w:val="Style14"/>
          <w:rFonts w:ascii="標楷體" w:hAnsi="標楷體" w:eastAsia="標楷體"/>
          <w:sz w:val="28"/>
          <w:szCs w:val="28"/>
        </w:rPr>
        <w:t>本補助經費應專款專用，不得挪用至其他用途，其剩餘款應全數繳回。</w:t>
      </w:r>
    </w:p>
    <w:p>
      <w:pPr>
        <w:pStyle w:val="Style33"/>
        <w:widowControl w:val="false"/>
        <w:numPr>
          <w:ilvl w:val="0"/>
          <w:numId w:val="0"/>
        </w:numPr>
        <w:suppressAutoHyphens w:val="true"/>
        <w:snapToGrid w:val="false"/>
        <w:spacing w:lineRule="exact" w:line="400"/>
        <w:ind w:left="720" w:right="0" w:hanging="0"/>
        <w:jc w:val="distribute"/>
        <w:rPr/>
      </w:pPr>
      <w:r>
        <w:rPr>
          <w:rStyle w:val="Style14"/>
          <w:rFonts w:ascii="標楷體" w:hAnsi="標楷體" w:eastAsia="標楷體"/>
          <w:sz w:val="28"/>
          <w:szCs w:val="28"/>
        </w:rPr>
        <w:t>七、補助成效及考核：本署得派員至國立學校及地方政府訪視了解實際執行情</w:t>
      </w:r>
    </w:p>
    <w:p>
      <w:pPr>
        <w:pStyle w:val="Style33"/>
        <w:widowControl w:val="false"/>
        <w:numPr>
          <w:ilvl w:val="0"/>
          <w:numId w:val="0"/>
        </w:numPr>
        <w:suppressAutoHyphens w:val="true"/>
        <w:snapToGrid w:val="false"/>
        <w:spacing w:lineRule="exact" w:line="400"/>
        <w:ind w:left="720" w:right="0" w:hanging="0"/>
        <w:jc w:val="distribute"/>
        <w:rPr/>
      </w:pPr>
      <w:r>
        <w:rPr>
          <w:rStyle w:val="Style14"/>
          <w:rFonts w:ascii="標楷體" w:hAnsi="標楷體" w:eastAsia="標楷體"/>
          <w:sz w:val="28"/>
          <w:szCs w:val="28"/>
        </w:rPr>
        <w:t xml:space="preserve">    </w:t>
      </w:r>
      <w:r>
        <w:rPr>
          <w:rStyle w:val="Style14"/>
          <w:rFonts w:ascii="標楷體" w:hAnsi="標楷體" w:eastAsia="標楷體"/>
          <w:sz w:val="28"/>
          <w:szCs w:val="28"/>
        </w:rPr>
        <w:t>形。</w:t>
      </w:r>
    </w:p>
    <w:p>
      <w:pPr>
        <w:pStyle w:val="Style33"/>
        <w:widowControl w:val="false"/>
        <w:numPr>
          <w:ilvl w:val="0"/>
          <w:numId w:val="0"/>
        </w:numPr>
        <w:suppressAutoHyphens w:val="true"/>
        <w:snapToGrid w:val="false"/>
        <w:spacing w:lineRule="exact" w:line="400"/>
        <w:ind w:left="720" w:right="0" w:hanging="0"/>
        <w:jc w:val="distribute"/>
        <w:rPr/>
      </w:pPr>
      <w:r>
        <w:rPr>
          <w:rStyle w:val="Style14"/>
          <w:rFonts w:ascii="標楷體" w:hAnsi="標楷體" w:eastAsia="標楷體"/>
          <w:sz w:val="28"/>
          <w:szCs w:val="28"/>
        </w:rPr>
        <w:t>八、國立學校及地方政府如有不實之情事，依法對學校及相關人員為必要之處</w:t>
      </w:r>
    </w:p>
    <w:p>
      <w:pPr>
        <w:pStyle w:val="Style33"/>
        <w:widowControl w:val="false"/>
        <w:numPr>
          <w:ilvl w:val="0"/>
          <w:numId w:val="0"/>
        </w:numPr>
        <w:suppressAutoHyphens w:val="true"/>
        <w:snapToGrid w:val="false"/>
        <w:spacing w:lineRule="exact" w:line="400"/>
        <w:ind w:left="720" w:right="0" w:hanging="0"/>
        <w:jc w:val="distribute"/>
        <w:rPr/>
      </w:pPr>
      <w:r>
        <w:rPr>
          <w:rStyle w:val="Style14"/>
          <w:rFonts w:ascii="標楷體" w:hAnsi="標楷體" w:eastAsia="標楷體"/>
          <w:sz w:val="28"/>
          <w:szCs w:val="28"/>
        </w:rPr>
        <w:t xml:space="preserve">    </w:t>
      </w:r>
      <w:r>
        <w:rPr>
          <w:rStyle w:val="Style14"/>
          <w:rFonts w:ascii="標楷體" w:hAnsi="標楷體" w:eastAsia="標楷體"/>
          <w:sz w:val="28"/>
          <w:szCs w:val="28"/>
        </w:rPr>
        <w:t>分，並追回所請領之費用。</w:t>
      </w:r>
    </w:p>
    <w:sectPr>
      <w:footerReference w:type="default" r:id="rId2"/>
      <w:type w:val="nextPage"/>
      <w:pgSz w:w="11906" w:h="16838"/>
      <w:pgMar w:left="1134" w:right="1134" w:header="0" w:top="720" w:footer="567" w:bottom="1134" w:gutter="0"/>
      <w:pgNumType w:start="1"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Cambria">
    <w:charset w:val="88"/>
    <w:family w:val="roman"/>
    <w:pitch w:val="variable"/>
  </w:font>
  <w:font w:name="標楷體">
    <w:charset w:val="88"/>
    <w:family w:val="script"/>
    <w:pitch w:val="fixed"/>
  </w:font>
  <w:font w:name="細明體">
    <w:charset w:val="88"/>
    <w:family w:val="modern"/>
    <w:pitch w:val="fixed"/>
  </w:font>
  <w:font w:name="Arial">
    <w:charset w:val="88"/>
    <w:family w:val="swiss"/>
    <w:pitch w:val="variable"/>
  </w:font>
  <w:font w:name="新細明體">
    <w:charset w:val="8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6"/>
      <w:rPr/>
    </w:pPr>
    <w:r>
      <w:rPr/>
    </w:r>
    <w:r>
      <mc:AlternateContent>
        <mc:Choice Requires="wps">
          <w:drawing>
            <wp:anchor behindDoc="0" distT="0" distB="0" distL="0" distR="0" simplePos="0" locked="0" layoutInCell="1" allowOverlap="1" relativeHeight="3">
              <wp:simplePos x="0" y="0"/>
              <wp:positionH relativeFrom="margin">
                <wp:align>center</wp:align>
              </wp:positionH>
              <wp:positionV relativeFrom="paragraph">
                <wp:posOffset>635</wp:posOffset>
              </wp:positionV>
              <wp:extent cx="14605" cy="14605"/>
              <wp:effectExtent l="0" t="0" r="0" b="0"/>
              <wp:wrapSquare wrapText="bothSides"/>
              <wp:docPr id="1" name="框架1"/>
              <a:graphic xmlns:a="http://schemas.openxmlformats.org/drawingml/2006/main">
                <a:graphicData uri="http://schemas.microsoft.com/office/word/2010/wordprocessingShape">
                  <wps:wsp>
                    <wps:cNvSpPr txBox="1"/>
                    <wps:spPr>
                      <a:xfrm>
                        <a:off x="0" y="0"/>
                        <a:ext cx="14605" cy="14605"/>
                      </a:xfrm>
                      <a:prstGeom prst="rect"/>
                    </wps:spPr>
                    <wps:txbx>
                      <w:txbxContent>
                        <w:p>
                          <w:pPr>
                            <w:pStyle w:val="Style26"/>
                            <w:rPr/>
                          </w:pPr>
                          <w:r>
                            <w:rPr>
                              <w:rStyle w:val="Style17"/>
                            </w:rPr>
                            <w:fldChar w:fldCharType="begin"/>
                          </w:r>
                          <w:r>
                            <w:rPr>
                              <w:rStyle w:val="Style17"/>
                            </w:rPr>
                            <w:instrText> PAGE </w:instrText>
                          </w:r>
                          <w:r>
                            <w:rPr>
                              <w:rStyle w:val="Style17"/>
                            </w:rPr>
                            <w:fldChar w:fldCharType="separate"/>
                          </w:r>
                          <w:r>
                            <w:rPr>
                              <w:rStyle w:val="Style17"/>
                            </w:rPr>
                            <w:t>2</w:t>
                          </w:r>
                          <w:r>
                            <w:rPr>
                              <w:rStyle w:val="Style17"/>
                            </w:rPr>
                            <w:fldChar w:fldCharType="end"/>
                          </w:r>
                        </w:p>
                      </w:txbxContent>
                    </wps:txbx>
                    <wps:bodyPr anchor="t" lIns="0" tIns="0" rIns="0" bIns="0">
                      <a:noAutofit/>
                    </wps:bodyPr>
                  </wps:wsp>
                </a:graphicData>
              </a:graphic>
            </wp:anchor>
          </w:drawing>
        </mc:Choice>
        <mc:Fallback>
          <w:pict>
            <v:rect style="position:absolute;rotation:0;width:1.15pt;height:1.15pt;mso-wrap-distance-left:0pt;mso-wrap-distance-right:0pt;mso-wrap-distance-top:0pt;mso-wrap-distance-bottom:0pt;margin-top:0.05pt;mso-position-vertical-relative:text;margin-left:240.4pt;mso-position-horizontal:center;mso-position-horizontal-relative:margin">
              <v:textbox inset="0in,0in,0in,0in">
                <w:txbxContent>
                  <w:p>
                    <w:pPr>
                      <w:pStyle w:val="Style26"/>
                      <w:rPr/>
                    </w:pPr>
                    <w:r>
                      <w:rPr>
                        <w:rStyle w:val="Style17"/>
                      </w:rPr>
                      <w:fldChar w:fldCharType="begin"/>
                    </w:r>
                    <w:r>
                      <w:rPr>
                        <w:rStyle w:val="Style17"/>
                      </w:rPr>
                      <w:instrText> PAGE </w:instrText>
                    </w:r>
                    <w:r>
                      <w:rPr>
                        <w:rStyle w:val="Style17"/>
                      </w:rPr>
                      <w:fldChar w:fldCharType="separate"/>
                    </w:r>
                    <w:r>
                      <w:rPr>
                        <w:rStyle w:val="Style17"/>
                      </w:rPr>
                      <w:t>2</w:t>
                    </w:r>
                    <w:r>
                      <w:rPr>
                        <w:rStyle w:val="Style17"/>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720"/>
      </w:pPr>
      <w:rPr>
        <w:rFonts w:ascii="標楷體" w:hAnsi="標楷體" w:eastAsia="標楷體" w:cs="Times New Roman"/>
        <w:color w:val="000000"/>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480"/>
  <w:compat>
    <w:doNotExpandShiftReturn/>
  </w:compat>
  <w:autoHyphenation w:val="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新細明體" w:cs="Times New Roman"/>
        <w:kern w:val="2"/>
        <w:sz w:val="24"/>
        <w:szCs w:val="22"/>
        <w:lang w:val="en-US" w:eastAsia="zh-TW" w:bidi="ar-SA"/>
      </w:rPr>
    </w:rPrDefault>
    <w:pPrDefault>
      <w:pPr>
        <w:widowControl/>
        <w:suppressAutoHyphens w:val="false"/>
        <w:textAlignment w:val="baseline"/>
      </w:pPr>
    </w:pPrDefault>
  </w:docDefaults>
  <w:style w:type="paragraph" w:styleId="Normal">
    <w:name w:val="Normal"/>
    <w:qFormat/>
    <w:pPr>
      <w:keepNext w:val="false"/>
      <w:keepLines w:val="false"/>
      <w:pageBreakBefore w:val="false"/>
      <w:widowControl/>
      <w:pBdr/>
      <w:shd w:fill="auto" w:val="clear"/>
      <w:suppressAutoHyphens w:val="fals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2"/>
      <w:u w:val="none"/>
      <w:vertAlign w:val="baseline"/>
      <w:em w:val="none"/>
      <w:lang w:val="en-US" w:eastAsia="zh-TW" w:bidi="ar-SA"/>
    </w:rPr>
  </w:style>
  <w:style w:type="character" w:styleId="Style14">
    <w:name w:val="預設段落字型"/>
    <w:qFormat/>
    <w:rPr/>
  </w:style>
  <w:style w:type="character" w:styleId="Style15">
    <w:name w:val="頁首 字元"/>
    <w:basedOn w:val="Style14"/>
    <w:qFormat/>
    <w:rPr>
      <w:rFonts w:cs="Times New Roman"/>
      <w:sz w:val="20"/>
      <w:szCs w:val="20"/>
    </w:rPr>
  </w:style>
  <w:style w:type="character" w:styleId="Style16">
    <w:name w:val="頁尾 字元"/>
    <w:basedOn w:val="Style14"/>
    <w:qFormat/>
    <w:rPr>
      <w:rFonts w:cs="Times New Roman"/>
      <w:kern w:val="2"/>
      <w:sz w:val="24"/>
    </w:rPr>
  </w:style>
  <w:style w:type="character" w:styleId="Style17">
    <w:name w:val="頁碼"/>
    <w:basedOn w:val="Style14"/>
    <w:rPr>
      <w:rFonts w:cs="Times New Roman"/>
    </w:rPr>
  </w:style>
  <w:style w:type="character" w:styleId="Style18">
    <w:name w:val="行號"/>
    <w:basedOn w:val="Style14"/>
    <w:qFormat/>
    <w:rPr>
      <w:rFonts w:cs="Times New Roman"/>
    </w:rPr>
  </w:style>
  <w:style w:type="character" w:styleId="Style19">
    <w:name w:val="註解方塊文字 字元"/>
    <w:basedOn w:val="Style14"/>
    <w:qFormat/>
    <w:rPr>
      <w:rFonts w:ascii="Cambria" w:hAnsi="Cambria" w:eastAsia="新細明體" w:cs="Times New Roman"/>
      <w:sz w:val="2"/>
    </w:rPr>
  </w:style>
  <w:style w:type="character" w:styleId="Style20">
    <w:name w:val="日期 字元"/>
    <w:basedOn w:val="Style14"/>
    <w:qFormat/>
    <w:rPr>
      <w:rFonts w:cs="Times New Roman"/>
      <w:sz w:val="24"/>
      <w:szCs w:val="24"/>
    </w:rPr>
  </w:style>
  <w:style w:type="character" w:styleId="Style21">
    <w:name w:val="本文縮排 字元"/>
    <w:basedOn w:val="Style14"/>
    <w:qFormat/>
    <w:rPr>
      <w:rFonts w:cs="Times New Roman"/>
      <w:sz w:val="24"/>
      <w:szCs w:val="24"/>
    </w:rPr>
  </w:style>
  <w:style w:type="character" w:styleId="2">
    <w:name w:val="本文縮排 2 字元"/>
    <w:basedOn w:val="Style14"/>
    <w:qFormat/>
    <w:rPr>
      <w:rFonts w:cs="Times New Roman"/>
      <w:sz w:val="24"/>
      <w:szCs w:val="24"/>
    </w:rPr>
  </w:style>
  <w:style w:type="character" w:styleId="Style22">
    <w:name w:val="文件引導模式 字元"/>
    <w:basedOn w:val="Style14"/>
    <w:qFormat/>
    <w:rPr>
      <w:rFonts w:cs="Times New Roman"/>
      <w:sz w:val="2"/>
    </w:rPr>
  </w:style>
  <w:style w:type="character" w:styleId="4">
    <w:name w:val="樣式4 字元"/>
    <w:qFormat/>
    <w:rPr>
      <w:rFonts w:ascii="標楷體" w:hAnsi="標楷體" w:eastAsia="標楷體" w:cs="標楷體"/>
      <w:b/>
      <w:sz w:val="28"/>
    </w:rPr>
  </w:style>
  <w:style w:type="character" w:styleId="Style23">
    <w:name w:val="純文字 字元"/>
    <w:basedOn w:val="Style14"/>
    <w:qFormat/>
    <w:rPr>
      <w:rFonts w:ascii="細明體" w:hAnsi="細明體" w:eastAsia="細明體" w:cs="Times New Roman"/>
      <w:kern w:val="2"/>
      <w:sz w:val="24"/>
    </w:rPr>
  </w:style>
  <w:style w:type="character" w:styleId="WWCharLFO1LVL1">
    <w:name w:val="WW_CharLFO1LVL1"/>
    <w:qFormat/>
    <w:rPr>
      <w:rFonts w:ascii="標楷體" w:hAnsi="標楷體" w:eastAsia="標楷體" w:cs="Times New Roman"/>
      <w:color w:val="000000"/>
    </w:rPr>
  </w:style>
  <w:style w:type="character" w:styleId="WWCharLFO1LVL2">
    <w:name w:val="WW_CharLFO1LVL2"/>
    <w:qFormat/>
    <w:rPr>
      <w:rFonts w:cs="Times New Roman"/>
    </w:rPr>
  </w:style>
  <w:style w:type="character" w:styleId="WWCharLFO1LVL3">
    <w:name w:val="WW_CharLFO1LVL3"/>
    <w:qFormat/>
    <w:rPr>
      <w:rFonts w:cs="Times New Roman"/>
    </w:rPr>
  </w:style>
  <w:style w:type="character" w:styleId="WWCharLFO1LVL4">
    <w:name w:val="WW_CharLFO1LVL4"/>
    <w:qFormat/>
    <w:rPr>
      <w:rFonts w:cs="Times New Roman"/>
    </w:rPr>
  </w:style>
  <w:style w:type="character" w:styleId="WWCharLFO1LVL5">
    <w:name w:val="WW_CharLFO1LVL5"/>
    <w:qFormat/>
    <w:rPr>
      <w:rFonts w:cs="Times New Roman"/>
    </w:rPr>
  </w:style>
  <w:style w:type="character" w:styleId="WWCharLFO1LVL6">
    <w:name w:val="WW_CharLFO1LVL6"/>
    <w:qFormat/>
    <w:rPr>
      <w:rFonts w:cs="Times New Roman"/>
    </w:rPr>
  </w:style>
  <w:style w:type="character" w:styleId="WWCharLFO1LVL7">
    <w:name w:val="WW_CharLFO1LVL7"/>
    <w:qFormat/>
    <w:rPr>
      <w:rFonts w:cs="Times New Roman"/>
    </w:rPr>
  </w:style>
  <w:style w:type="character" w:styleId="WWCharLFO1LVL8">
    <w:name w:val="WW_CharLFO1LVL8"/>
    <w:qFormat/>
    <w:rPr>
      <w:rFonts w:cs="Times New Roman"/>
    </w:rPr>
  </w:style>
  <w:style w:type="character" w:styleId="WWCharLFO1LVL9">
    <w:name w:val="WW_CharLFO1LVL9"/>
    <w:qFormat/>
    <w:rPr>
      <w:rFonts w:cs="Times New Roman"/>
    </w:rPr>
  </w:style>
  <w:style w:type="character" w:styleId="WWCharLFO2LVL1">
    <w:name w:val="WW_CharLFO2LVL1"/>
    <w:qFormat/>
    <w:rPr>
      <w:rFonts w:cs="Times New Roman"/>
    </w:rPr>
  </w:style>
  <w:style w:type="character" w:styleId="WWCharLFO2LVL2">
    <w:name w:val="WW_CharLFO2LVL2"/>
    <w:qFormat/>
    <w:rPr>
      <w:rFonts w:cs="Times New Roman"/>
    </w:rPr>
  </w:style>
  <w:style w:type="character" w:styleId="WWCharLFO2LVL3">
    <w:name w:val="WW_CharLFO2LVL3"/>
    <w:qFormat/>
    <w:rPr>
      <w:rFonts w:cs="Times New Roman"/>
    </w:rPr>
  </w:style>
  <w:style w:type="character" w:styleId="WWCharLFO2LVL4">
    <w:name w:val="WW_CharLFO2LVL4"/>
    <w:qFormat/>
    <w:rPr>
      <w:rFonts w:cs="Times New Roman"/>
    </w:rPr>
  </w:style>
  <w:style w:type="character" w:styleId="WWCharLFO2LVL5">
    <w:name w:val="WW_CharLFO2LVL5"/>
    <w:qFormat/>
    <w:rPr>
      <w:rFonts w:cs="Times New Roman"/>
    </w:rPr>
  </w:style>
  <w:style w:type="character" w:styleId="WWCharLFO2LVL6">
    <w:name w:val="WW_CharLFO2LVL6"/>
    <w:qFormat/>
    <w:rPr>
      <w:rFonts w:cs="Times New Roman"/>
    </w:rPr>
  </w:style>
  <w:style w:type="character" w:styleId="WWCharLFO2LVL7">
    <w:name w:val="WW_CharLFO2LVL7"/>
    <w:qFormat/>
    <w:rPr>
      <w:rFonts w:cs="Times New Roman"/>
    </w:rPr>
  </w:style>
  <w:style w:type="character" w:styleId="WWCharLFO2LVL8">
    <w:name w:val="WW_CharLFO2LVL8"/>
    <w:qFormat/>
    <w:rPr>
      <w:rFonts w:cs="Times New Roman"/>
    </w:rPr>
  </w:style>
  <w:style w:type="character" w:styleId="WWCharLFO2LVL9">
    <w:name w:val="WW_CharLFO2LVL9"/>
    <w:qFormat/>
    <w:rPr>
      <w:rFonts w:cs="Times New Roman"/>
    </w:rPr>
  </w:style>
  <w:style w:type="character" w:styleId="WWCharLFO4LVL1">
    <w:name w:val="WW_CharLFO4LVL1"/>
    <w:qFormat/>
    <w:rPr>
      <w:rFonts w:cs="Times New Roman"/>
    </w:rPr>
  </w:style>
  <w:style w:type="character" w:styleId="WWCharLFO4LVL2">
    <w:name w:val="WW_CharLFO4LVL2"/>
    <w:qFormat/>
    <w:rPr>
      <w:rFonts w:cs="Times New Roman"/>
    </w:rPr>
  </w:style>
  <w:style w:type="character" w:styleId="WWCharLFO4LVL3">
    <w:name w:val="WW_CharLFO4LVL3"/>
    <w:qFormat/>
    <w:rPr>
      <w:rFonts w:cs="Times New Roman"/>
    </w:rPr>
  </w:style>
  <w:style w:type="character" w:styleId="WWCharLFO4LVL4">
    <w:name w:val="WW_CharLFO4LVL4"/>
    <w:qFormat/>
    <w:rPr>
      <w:rFonts w:cs="Times New Roman"/>
    </w:rPr>
  </w:style>
  <w:style w:type="character" w:styleId="WWCharLFO4LVL5">
    <w:name w:val="WW_CharLFO4LVL5"/>
    <w:qFormat/>
    <w:rPr>
      <w:rFonts w:cs="Times New Roman"/>
    </w:rPr>
  </w:style>
  <w:style w:type="character" w:styleId="WWCharLFO4LVL6">
    <w:name w:val="WW_CharLFO4LVL6"/>
    <w:qFormat/>
    <w:rPr>
      <w:rFonts w:cs="Times New Roman"/>
    </w:rPr>
  </w:style>
  <w:style w:type="character" w:styleId="WWCharLFO4LVL7">
    <w:name w:val="WW_CharLFO4LVL7"/>
    <w:qFormat/>
    <w:rPr>
      <w:rFonts w:cs="Times New Roman"/>
    </w:rPr>
  </w:style>
  <w:style w:type="character" w:styleId="WWCharLFO4LVL8">
    <w:name w:val="WW_CharLFO4LVL8"/>
    <w:qFormat/>
    <w:rPr>
      <w:rFonts w:cs="Times New Roman"/>
    </w:rPr>
  </w:style>
  <w:style w:type="character" w:styleId="WWCharLFO4LVL9">
    <w:name w:val="WW_CharLFO4LVL9"/>
    <w:qFormat/>
    <w:rPr>
      <w:rFonts w:cs="Times New Roman"/>
    </w:rPr>
  </w:style>
  <w:style w:type="character" w:styleId="WWCharLFO6LVL1">
    <w:name w:val="WW_CharLFO6LVL1"/>
    <w:qFormat/>
    <w:rPr>
      <w:rFonts w:cs="Times New Roman"/>
    </w:rPr>
  </w:style>
  <w:style w:type="character" w:styleId="WWCharLFO6LVL2">
    <w:name w:val="WW_CharLFO6LVL2"/>
    <w:qFormat/>
    <w:rPr>
      <w:rFonts w:cs="Times New Roman"/>
    </w:rPr>
  </w:style>
  <w:style w:type="character" w:styleId="WWCharLFO6LVL3">
    <w:name w:val="WW_CharLFO6LVL3"/>
    <w:qFormat/>
    <w:rPr>
      <w:rFonts w:cs="Times New Roman"/>
    </w:rPr>
  </w:style>
  <w:style w:type="character" w:styleId="WWCharLFO6LVL4">
    <w:name w:val="WW_CharLFO6LVL4"/>
    <w:qFormat/>
    <w:rPr>
      <w:rFonts w:cs="Times New Roman"/>
    </w:rPr>
  </w:style>
  <w:style w:type="character" w:styleId="WWCharLFO6LVL5">
    <w:name w:val="WW_CharLFO6LVL5"/>
    <w:qFormat/>
    <w:rPr>
      <w:rFonts w:cs="Times New Roman"/>
    </w:rPr>
  </w:style>
  <w:style w:type="character" w:styleId="WWCharLFO6LVL6">
    <w:name w:val="WW_CharLFO6LVL6"/>
    <w:qFormat/>
    <w:rPr>
      <w:rFonts w:cs="Times New Roman"/>
    </w:rPr>
  </w:style>
  <w:style w:type="character" w:styleId="WWCharLFO6LVL7">
    <w:name w:val="WW_CharLFO6LVL7"/>
    <w:qFormat/>
    <w:rPr>
      <w:rFonts w:cs="Times New Roman"/>
    </w:rPr>
  </w:style>
  <w:style w:type="character" w:styleId="WWCharLFO6LVL8">
    <w:name w:val="WW_CharLFO6LVL8"/>
    <w:qFormat/>
    <w:rPr>
      <w:rFonts w:cs="Times New Roman"/>
    </w:rPr>
  </w:style>
  <w:style w:type="character" w:styleId="WWCharLFO6LVL9">
    <w:name w:val="WW_CharLFO6LVL9"/>
    <w:qFormat/>
    <w:rPr>
      <w:rFonts w:cs="Times New Roman"/>
    </w:rPr>
  </w:style>
  <w:style w:type="paragraph" w:styleId="Style24">
    <w:name w:val="Body Text"/>
    <w:pPr>
      <w:keepNext w:val="false"/>
      <w:keepLines w:val="false"/>
      <w:pageBreakBefore w:val="false"/>
      <w:widowControl w:val="false"/>
      <w:pBdr/>
      <w:shd w:fill="auto" w:val="clear"/>
      <w:suppressAutoHyphens w:val="true"/>
      <w:kinsoku w:val="true"/>
      <w:overflowPunct w:val="true"/>
      <w:autoSpaceDE w:val="true"/>
      <w:bidi w:val="0"/>
      <w:snapToGrid w:val="true"/>
      <w:spacing w:lineRule="auto" w:line="240"/>
      <w:jc w:val="left"/>
      <w:textAlignment w:val="baseline"/>
    </w:pPr>
    <w:rPr>
      <w:rFonts w:ascii="Times New Roman" w:hAnsi="Times New Roman" w:eastAsia="新細明體" w:cs="Times New Roman"/>
      <w:b w:val="false"/>
      <w:bCs w:val="false"/>
      <w:i w:val="false"/>
      <w:iCs w:val="false"/>
      <w:caps w:val="false"/>
      <w:smallCaps w:val="false"/>
      <w:strike w:val="false"/>
      <w:dstrike w:val="false"/>
      <w:outline w:val="false"/>
      <w:emboss w:val="false"/>
      <w:imprint w:val="false"/>
      <w:color w:val="auto"/>
      <w:spacing w:val="0"/>
      <w:w w:val="100"/>
      <w:kern w:val="2"/>
      <w:position w:val="0"/>
      <w:sz w:val="24"/>
      <w:sz w:val="24"/>
      <w:szCs w:val="24"/>
      <w:u w:val="none"/>
      <w:vertAlign w:val="baseline"/>
      <w:em w:val="none"/>
      <w:lang w:val="en-US" w:eastAsia="zh-TW" w:bidi="ar-SA"/>
    </w:rPr>
  </w:style>
  <w:style w:type="paragraph" w:styleId="Style25">
    <w:name w:val="Header"/>
    <w:basedOn w:val="Style24"/>
    <w:pPr>
      <w:tabs>
        <w:tab w:val="clear" w:pos="480"/>
        <w:tab w:val="center" w:pos="4153" w:leader="none"/>
        <w:tab w:val="right" w:pos="8306" w:leader="none"/>
      </w:tabs>
      <w:suppressAutoHyphens w:val="true"/>
      <w:snapToGrid w:val="false"/>
    </w:pPr>
    <w:rPr>
      <w:sz w:val="20"/>
      <w:szCs w:val="20"/>
    </w:rPr>
  </w:style>
  <w:style w:type="paragraph" w:styleId="Style26">
    <w:name w:val="Footer"/>
    <w:basedOn w:val="Style24"/>
    <w:pPr>
      <w:tabs>
        <w:tab w:val="clear" w:pos="480"/>
        <w:tab w:val="center" w:pos="4153" w:leader="none"/>
        <w:tab w:val="right" w:pos="8306" w:leader="none"/>
      </w:tabs>
      <w:suppressAutoHyphens w:val="true"/>
      <w:snapToGrid w:val="false"/>
    </w:pPr>
    <w:rPr>
      <w:szCs w:val="20"/>
    </w:rPr>
  </w:style>
  <w:style w:type="paragraph" w:styleId="Style27">
    <w:name w:val="註解方塊文字"/>
    <w:basedOn w:val="Style24"/>
    <w:qFormat/>
    <w:pPr>
      <w:suppressAutoHyphens w:val="true"/>
    </w:pPr>
    <w:rPr>
      <w:rFonts w:ascii="Arial" w:hAnsi="Arial" w:eastAsia="Arial" w:cs="Arial"/>
      <w:sz w:val="18"/>
      <w:szCs w:val="18"/>
    </w:rPr>
  </w:style>
  <w:style w:type="paragraph" w:styleId="C16">
    <w:name w:val="c16"/>
    <w:basedOn w:val="Style24"/>
    <w:qFormat/>
    <w:pPr>
      <w:widowControl/>
      <w:tabs>
        <w:tab w:val="clear" w:pos="480"/>
      </w:tabs>
      <w:suppressAutoHyphens w:val="true"/>
      <w:spacing w:before="100" w:after="100"/>
      <w:ind w:left="552" w:right="0" w:hanging="552"/>
    </w:pPr>
    <w:rPr>
      <w:rFonts w:ascii="標楷體" w:hAnsi="標楷體" w:eastAsia="標楷體" w:cs="標楷體"/>
      <w:kern w:val="0"/>
      <w:sz w:val="32"/>
      <w:szCs w:val="32"/>
    </w:rPr>
  </w:style>
  <w:style w:type="paragraph" w:styleId="C12">
    <w:name w:val="c12"/>
    <w:basedOn w:val="Style24"/>
    <w:qFormat/>
    <w:pPr>
      <w:widowControl/>
      <w:suppressAutoHyphens w:val="true"/>
      <w:spacing w:before="100" w:after="100"/>
    </w:pPr>
    <w:rPr>
      <w:rFonts w:ascii="新細明體" w:hAnsi="新細明體" w:cs="新細明體"/>
      <w:kern w:val="0"/>
    </w:rPr>
  </w:style>
  <w:style w:type="paragraph" w:styleId="Style28">
    <w:name w:val="日期"/>
    <w:basedOn w:val="Style24"/>
    <w:next w:val="Style24"/>
    <w:qFormat/>
    <w:pPr>
      <w:suppressAutoHyphens w:val="true"/>
      <w:jc w:val="right"/>
    </w:pPr>
    <w:rPr>
      <w:sz w:val="36"/>
    </w:rPr>
  </w:style>
  <w:style w:type="paragraph" w:styleId="Style29">
    <w:name w:val="本文縮排"/>
    <w:basedOn w:val="Style24"/>
    <w:qFormat/>
    <w:pPr>
      <w:widowControl/>
      <w:tabs>
        <w:tab w:val="clear" w:pos="480"/>
      </w:tabs>
      <w:suppressAutoHyphens w:val="true"/>
      <w:spacing w:lineRule="exact" w:line="480"/>
      <w:ind w:left="600" w:right="0" w:hanging="60"/>
    </w:pPr>
    <w:rPr>
      <w:rFonts w:ascii="標楷體" w:hAnsi="標楷體" w:eastAsia="標楷體" w:cs="標楷體"/>
      <w:b/>
      <w:kern w:val="0"/>
      <w:sz w:val="32"/>
    </w:rPr>
  </w:style>
  <w:style w:type="paragraph" w:styleId="21">
    <w:name w:val="本文縮排 2"/>
    <w:basedOn w:val="Style24"/>
    <w:qFormat/>
    <w:pPr>
      <w:widowControl/>
      <w:tabs>
        <w:tab w:val="clear" w:pos="480"/>
      </w:tabs>
      <w:suppressAutoHyphens w:val="true"/>
      <w:spacing w:lineRule="exact" w:line="480"/>
      <w:ind w:left="1260" w:right="0" w:hanging="900"/>
    </w:pPr>
    <w:rPr>
      <w:rFonts w:ascii="標楷體" w:hAnsi="標楷體" w:eastAsia="標楷體" w:cs="標楷體"/>
      <w:b/>
      <w:kern w:val="0"/>
      <w:sz w:val="32"/>
    </w:rPr>
  </w:style>
  <w:style w:type="paragraph" w:styleId="Style30">
    <w:name w:val="文件引導模式"/>
    <w:basedOn w:val="Style24"/>
    <w:qFormat/>
    <w:pPr>
      <w:shd w:fill="000080" w:val="clear"/>
      <w:suppressAutoHyphens w:val="true"/>
    </w:pPr>
    <w:rPr>
      <w:rFonts w:ascii="Arial" w:hAnsi="Arial" w:eastAsia="Arial" w:cs="Arial"/>
    </w:rPr>
  </w:style>
  <w:style w:type="paragraph" w:styleId="C18">
    <w:name w:val="c18"/>
    <w:basedOn w:val="Style24"/>
    <w:qFormat/>
    <w:pPr>
      <w:widowControl/>
      <w:tabs>
        <w:tab w:val="clear" w:pos="480"/>
      </w:tabs>
      <w:suppressAutoHyphens w:val="true"/>
      <w:spacing w:before="100" w:after="100"/>
      <w:ind w:left="552" w:right="0" w:hanging="552"/>
    </w:pPr>
    <w:rPr>
      <w:rFonts w:ascii="標楷體" w:hAnsi="標楷體" w:eastAsia="標楷體" w:cs="標楷體"/>
      <w:kern w:val="0"/>
      <w:sz w:val="36"/>
      <w:szCs w:val="36"/>
    </w:rPr>
  </w:style>
  <w:style w:type="paragraph" w:styleId="C22">
    <w:name w:val="c22"/>
    <w:basedOn w:val="Style24"/>
    <w:qFormat/>
    <w:pPr>
      <w:widowControl/>
      <w:tabs>
        <w:tab w:val="clear" w:pos="480"/>
      </w:tabs>
      <w:suppressAutoHyphens w:val="true"/>
      <w:spacing w:before="100" w:after="100"/>
      <w:ind w:left="552" w:right="0" w:hanging="552"/>
    </w:pPr>
    <w:rPr>
      <w:rFonts w:ascii="標楷體" w:hAnsi="標楷體" w:eastAsia="標楷體" w:cs="標楷體"/>
      <w:kern w:val="0"/>
      <w:sz w:val="44"/>
      <w:szCs w:val="44"/>
    </w:rPr>
  </w:style>
  <w:style w:type="paragraph" w:styleId="41">
    <w:name w:val="樣式4"/>
    <w:basedOn w:val="1"/>
    <w:qFormat/>
    <w:pPr>
      <w:widowControl/>
      <w:tabs>
        <w:tab w:val="clear" w:pos="480"/>
        <w:tab w:val="right" w:pos="8296" w:leader="dot"/>
        <w:tab w:val="left" w:pos="9498" w:leader="none"/>
      </w:tabs>
      <w:suppressAutoHyphens w:val="true"/>
      <w:spacing w:lineRule="exact" w:line="300" w:before="0" w:after="100"/>
      <w:jc w:val="center"/>
    </w:pPr>
    <w:rPr>
      <w:rFonts w:ascii="標楷體" w:hAnsi="標楷體" w:eastAsia="標楷體" w:cs="標楷體"/>
      <w:b/>
      <w:kern w:val="0"/>
      <w:sz w:val="28"/>
      <w:szCs w:val="20"/>
    </w:rPr>
  </w:style>
  <w:style w:type="paragraph" w:styleId="Style31">
    <w:name w:val="索引"/>
    <w:basedOn w:val="Normal"/>
    <w:qFormat/>
    <w:pPr>
      <w:suppressLineNumbers/>
      <w:suppressAutoHyphens w:val="false"/>
    </w:pPr>
    <w:rPr/>
  </w:style>
  <w:style w:type="paragraph" w:styleId="1">
    <w:name w:val="TOC 1"/>
    <w:basedOn w:val="Style24"/>
    <w:next w:val="Style24"/>
    <w:autoRedefine/>
    <w:pPr>
      <w:suppressAutoHyphens w:val="true"/>
    </w:pPr>
    <w:rPr/>
  </w:style>
  <w:style w:type="paragraph" w:styleId="11">
    <w:name w:val="清單段落1"/>
    <w:basedOn w:val="Style24"/>
    <w:qFormat/>
    <w:pPr>
      <w:tabs>
        <w:tab w:val="clear" w:pos="480"/>
      </w:tabs>
      <w:suppressAutoHyphens w:val="true"/>
      <w:ind w:left="480" w:right="0" w:hanging="0"/>
    </w:pPr>
    <w:rPr/>
  </w:style>
  <w:style w:type="paragraph" w:styleId="Style32">
    <w:name w:val="純文字"/>
    <w:basedOn w:val="Style24"/>
    <w:qFormat/>
    <w:pPr>
      <w:suppressAutoHyphens w:val="true"/>
    </w:pPr>
    <w:rPr>
      <w:rFonts w:ascii="細明體" w:hAnsi="細明體" w:eastAsia="細明體" w:cs="細明體"/>
    </w:rPr>
  </w:style>
  <w:style w:type="paragraph" w:styleId="Style33">
    <w:name w:val="清單段落"/>
    <w:basedOn w:val="Style24"/>
    <w:qFormat/>
    <w:pPr>
      <w:tabs>
        <w:tab w:val="clear" w:pos="480"/>
      </w:tabs>
      <w:suppressAutoHyphens w:val="true"/>
      <w:ind w:left="480" w:right="0" w:hanging="0"/>
    </w:pPr>
    <w:rPr/>
  </w:style>
  <w:style w:type="paragraph" w:styleId="Web">
    <w:name w:val="內文 (Web)"/>
    <w:basedOn w:val="Style24"/>
    <w:qFormat/>
    <w:pPr>
      <w:widowControl/>
      <w:suppressAutoHyphens w:val="true"/>
      <w:spacing w:before="100" w:after="100"/>
    </w:pPr>
    <w:rPr>
      <w:rFonts w:ascii="新細明體" w:hAnsi="新細明體" w:cs="新細明體"/>
      <w:kern w:val="0"/>
    </w:rPr>
  </w:style>
  <w:style w:type="paragraph" w:styleId="Style34">
    <w:name w:val="外框內容"/>
    <w:basedOn w:val="Normal"/>
    <w:qFormat/>
    <w:pPr>
      <w:suppressAutoHyphens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TotalTime>
  <Application>NDC_ODF_Application_Tools/2.0.2$Windows_x86 LibreOffice_project/ed72a44ef8f10c5a9b48f1a4b7467ea50da7b580</Application>
  <Pages>2</Pages>
  <Words>1095</Words>
  <Characters>1095</Characters>
  <CharactersWithSpaces>1103</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2019-11-19T06:46:00Z</dcterms:created>
  <dc:creator>moe</dc:creator>
  <dc:description/>
  <dc:language>zh-TW</dc:language>
  <cp:lastModifiedBy/>
  <cp:lastPrinted>2017-08-07T02:18:00Z</cp:lastPrinted>
  <dcterms:modified xsi:type="dcterms:W3CDTF">2019-11-19T15:32:51Z</dcterms:modified>
  <cp:revision>6</cp:revision>
  <dc:subject/>
  <dc:title>教育經費分配審議委員會第     次特定教育補助審議表</dc:title>
</cp:coreProperties>
</file>