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517" w:rsidRDefault="00C53C9D">
      <w:pPr>
        <w:pStyle w:val="Standard"/>
        <w:spacing w:after="190" w:line="520" w:lineRule="exact"/>
        <w:jc w:val="center"/>
        <w:rPr>
          <w:b/>
          <w:sz w:val="40"/>
          <w:szCs w:val="40"/>
        </w:rPr>
      </w:pPr>
      <w:bookmarkStart w:id="0" w:name="_GoBack"/>
      <w:r>
        <w:rPr>
          <w:b/>
          <w:sz w:val="40"/>
          <w:szCs w:val="40"/>
        </w:rPr>
        <w:t>教育部遴選學生參加國際數理學科奧林匹亞競賽作業要點</w:t>
      </w:r>
      <w:bookmarkEnd w:id="0"/>
    </w:p>
    <w:p w:rsidR="00FC2517" w:rsidRDefault="00C53C9D">
      <w:pPr>
        <w:pStyle w:val="Standard"/>
        <w:ind w:left="436" w:hanging="461"/>
        <w:jc w:val="both"/>
        <w:rPr>
          <w:sz w:val="24"/>
        </w:rPr>
      </w:pPr>
      <w:r>
        <w:rPr>
          <w:sz w:val="24"/>
        </w:rPr>
        <w:t>ㄧ、教育部（以下簡稱本部）為公平、公正及公開遴選我國高級中等以下教育階段之學生，參加國際數理學科奧林匹亞競賽，提升學生國際視野及國際競爭力，特訂定本要點。</w:t>
      </w:r>
    </w:p>
    <w:p w:rsidR="00FC2517" w:rsidRDefault="00C53C9D">
      <w:pPr>
        <w:pStyle w:val="Standard"/>
        <w:ind w:left="444" w:hanging="444"/>
        <w:jc w:val="both"/>
        <w:rPr>
          <w:sz w:val="24"/>
        </w:rPr>
      </w:pPr>
      <w:r>
        <w:rPr>
          <w:sz w:val="24"/>
        </w:rPr>
        <w:t>二、本要點用詞，定義如下：</w:t>
      </w:r>
    </w:p>
    <w:p w:rsidR="00FC2517" w:rsidRDefault="00C53C9D">
      <w:pPr>
        <w:pStyle w:val="Standard"/>
        <w:tabs>
          <w:tab w:val="left" w:pos="2447"/>
          <w:tab w:val="left" w:pos="3233"/>
          <w:tab w:val="left" w:pos="4193"/>
          <w:tab w:val="left" w:pos="5153"/>
          <w:tab w:val="left" w:pos="6113"/>
          <w:tab w:val="left" w:pos="7073"/>
          <w:tab w:val="left" w:pos="8033"/>
          <w:tab w:val="left" w:pos="8993"/>
        </w:tabs>
        <w:autoSpaceDE w:val="0"/>
        <w:ind w:left="1313" w:right="-4" w:hanging="742"/>
        <w:jc w:val="both"/>
      </w:pPr>
      <w:r>
        <w:rPr>
          <w:sz w:val="24"/>
        </w:rPr>
        <w:t>（</w:t>
      </w:r>
      <w:r>
        <w:rPr>
          <w:rFonts w:ascii="Times New Roman" w:hAnsi="Times New Roman" w:cs="Times New Roman"/>
          <w:sz w:val="24"/>
        </w:rPr>
        <w:t>一</w:t>
      </w:r>
      <w:r>
        <w:rPr>
          <w:sz w:val="24"/>
        </w:rPr>
        <w:t>）國際數理學科奧林匹亞競賽（以下簡稱本競賽），指下列競賽：</w:t>
      </w:r>
    </w:p>
    <w:p w:rsidR="00FC2517" w:rsidRDefault="00C53C9D">
      <w:pPr>
        <w:pStyle w:val="Standard"/>
        <w:numPr>
          <w:ilvl w:val="0"/>
          <w:numId w:val="9"/>
        </w:numPr>
        <w:ind w:left="1625" w:hanging="312"/>
        <w:jc w:val="both"/>
        <w:rPr>
          <w:rFonts w:ascii="Times New Roman" w:hAnsi="Times New Roman" w:cs="Times New Roman"/>
          <w:sz w:val="24"/>
        </w:rPr>
      </w:pPr>
      <w:r>
        <w:rPr>
          <w:rFonts w:ascii="Times New Roman" w:hAnsi="Times New Roman" w:cs="Times New Roman"/>
          <w:sz w:val="24"/>
        </w:rPr>
        <w:t>國際數學、物理、化學、生物、地球科學及資訊奧林匹亞競賽。</w:t>
      </w:r>
    </w:p>
    <w:p w:rsidR="00FC2517" w:rsidRDefault="00C53C9D">
      <w:pPr>
        <w:pStyle w:val="Standard"/>
        <w:numPr>
          <w:ilvl w:val="0"/>
          <w:numId w:val="6"/>
        </w:numPr>
        <w:ind w:left="1625" w:hanging="312"/>
        <w:jc w:val="both"/>
        <w:rPr>
          <w:rFonts w:ascii="Times New Roman" w:hAnsi="Times New Roman" w:cs="Times New Roman"/>
          <w:sz w:val="24"/>
        </w:rPr>
      </w:pPr>
      <w:r>
        <w:rPr>
          <w:rFonts w:ascii="Times New Roman" w:hAnsi="Times New Roman" w:cs="Times New Roman"/>
          <w:sz w:val="24"/>
        </w:rPr>
        <w:t>亞太數學及亞洲物理奧林匹亞競賽。</w:t>
      </w:r>
    </w:p>
    <w:p w:rsidR="00FC2517" w:rsidRDefault="00C53C9D">
      <w:pPr>
        <w:pStyle w:val="Standard"/>
        <w:numPr>
          <w:ilvl w:val="0"/>
          <w:numId w:val="6"/>
        </w:numPr>
        <w:ind w:left="1625" w:hanging="312"/>
        <w:jc w:val="both"/>
        <w:rPr>
          <w:rFonts w:ascii="Times New Roman" w:hAnsi="Times New Roman" w:cs="Times New Roman"/>
          <w:sz w:val="24"/>
        </w:rPr>
      </w:pPr>
      <w:r>
        <w:rPr>
          <w:rFonts w:ascii="Times New Roman" w:hAnsi="Times New Roman" w:cs="Times New Roman"/>
          <w:sz w:val="24"/>
        </w:rPr>
        <w:t>其他經本部認定之競賽。</w:t>
      </w:r>
    </w:p>
    <w:p w:rsidR="00FC2517" w:rsidRDefault="00C53C9D">
      <w:pPr>
        <w:pStyle w:val="Standard"/>
        <w:tabs>
          <w:tab w:val="left" w:pos="2447"/>
          <w:tab w:val="left" w:pos="3233"/>
          <w:tab w:val="left" w:pos="4193"/>
          <w:tab w:val="left" w:pos="5153"/>
          <w:tab w:val="left" w:pos="6113"/>
          <w:tab w:val="left" w:pos="7073"/>
          <w:tab w:val="left" w:pos="8033"/>
          <w:tab w:val="left" w:pos="8993"/>
        </w:tabs>
        <w:autoSpaceDE w:val="0"/>
        <w:ind w:left="1313" w:right="-4" w:hanging="742"/>
        <w:jc w:val="both"/>
      </w:pPr>
      <w:r>
        <w:rPr>
          <w:sz w:val="24"/>
        </w:rPr>
        <w:t>（</w:t>
      </w:r>
      <w:r>
        <w:rPr>
          <w:rFonts w:ascii="Times New Roman" w:hAnsi="Times New Roman" w:cs="Times New Roman"/>
          <w:sz w:val="24"/>
        </w:rPr>
        <w:t>二</w:t>
      </w:r>
      <w:r>
        <w:rPr>
          <w:sz w:val="24"/>
        </w:rPr>
        <w:t>）高級中等以下教育階段，指下列各目學校之一或非學校型態實驗教育辦理者：</w:t>
      </w:r>
    </w:p>
    <w:p w:rsidR="00FC2517" w:rsidRDefault="00C53C9D">
      <w:pPr>
        <w:pStyle w:val="Standard"/>
        <w:numPr>
          <w:ilvl w:val="0"/>
          <w:numId w:val="10"/>
        </w:numPr>
        <w:ind w:left="1625" w:hanging="312"/>
        <w:jc w:val="both"/>
        <w:rPr>
          <w:rFonts w:ascii="Times New Roman" w:hAnsi="Times New Roman" w:cs="Times New Roman"/>
          <w:sz w:val="24"/>
        </w:rPr>
      </w:pPr>
      <w:r>
        <w:rPr>
          <w:rFonts w:ascii="Times New Roman" w:hAnsi="Times New Roman" w:cs="Times New Roman"/>
          <w:sz w:val="24"/>
        </w:rPr>
        <w:t>依國民教育法、高級中等教育法或特殊教育法設立之學校。</w:t>
      </w:r>
    </w:p>
    <w:p w:rsidR="00FC2517" w:rsidRDefault="00C53C9D">
      <w:pPr>
        <w:pStyle w:val="Standard"/>
        <w:numPr>
          <w:ilvl w:val="0"/>
          <w:numId w:val="2"/>
        </w:numPr>
        <w:ind w:left="1625" w:hanging="312"/>
        <w:jc w:val="both"/>
        <w:rPr>
          <w:rFonts w:ascii="Times New Roman" w:hAnsi="Times New Roman" w:cs="Times New Roman"/>
          <w:sz w:val="24"/>
        </w:rPr>
      </w:pPr>
      <w:r>
        <w:rPr>
          <w:rFonts w:ascii="Times New Roman" w:hAnsi="Times New Roman" w:cs="Times New Roman"/>
          <w:sz w:val="24"/>
        </w:rPr>
        <w:t>依學校型態實驗教育實施條例設立之實驗教育學校。</w:t>
      </w:r>
    </w:p>
    <w:p w:rsidR="00FC2517" w:rsidRDefault="00C53C9D">
      <w:pPr>
        <w:pStyle w:val="Standard"/>
        <w:numPr>
          <w:ilvl w:val="0"/>
          <w:numId w:val="2"/>
        </w:numPr>
        <w:ind w:left="1625" w:hanging="312"/>
        <w:jc w:val="both"/>
        <w:rPr>
          <w:rFonts w:ascii="Times New Roman" w:hAnsi="Times New Roman" w:cs="Times New Roman"/>
          <w:sz w:val="24"/>
        </w:rPr>
      </w:pPr>
      <w:r>
        <w:rPr>
          <w:rFonts w:ascii="Times New Roman" w:hAnsi="Times New Roman" w:cs="Times New Roman"/>
          <w:sz w:val="24"/>
        </w:rPr>
        <w:t>依科學園區設置管理條例設立之實驗中小學。</w:t>
      </w:r>
    </w:p>
    <w:p w:rsidR="00FC2517" w:rsidRDefault="00C53C9D">
      <w:pPr>
        <w:pStyle w:val="Standard"/>
        <w:numPr>
          <w:ilvl w:val="0"/>
          <w:numId w:val="2"/>
        </w:numPr>
        <w:ind w:left="1625" w:hanging="312"/>
        <w:jc w:val="both"/>
        <w:rPr>
          <w:rFonts w:ascii="Times New Roman" w:hAnsi="Times New Roman" w:cs="Times New Roman"/>
          <w:sz w:val="24"/>
        </w:rPr>
      </w:pPr>
      <w:r>
        <w:rPr>
          <w:rFonts w:ascii="Times New Roman" w:hAnsi="Times New Roman" w:cs="Times New Roman"/>
          <w:sz w:val="24"/>
        </w:rPr>
        <w:t>依軍事教育條例設立之預備學校。</w:t>
      </w:r>
    </w:p>
    <w:p w:rsidR="00FC2517" w:rsidRDefault="00C53C9D">
      <w:pPr>
        <w:pStyle w:val="Standard"/>
        <w:numPr>
          <w:ilvl w:val="0"/>
          <w:numId w:val="2"/>
        </w:numPr>
        <w:ind w:left="1625" w:hanging="312"/>
        <w:jc w:val="both"/>
        <w:rPr>
          <w:rFonts w:ascii="Times New Roman" w:hAnsi="Times New Roman" w:cs="Times New Roman"/>
          <w:sz w:val="24"/>
        </w:rPr>
      </w:pPr>
      <w:r>
        <w:rPr>
          <w:rFonts w:ascii="Times New Roman" w:hAnsi="Times New Roman" w:cs="Times New Roman"/>
          <w:sz w:val="24"/>
        </w:rPr>
        <w:t>依高級中等以下教育階段非學校型態實驗教育實施條例辦理非學校型態實驗教育者。</w:t>
      </w:r>
    </w:p>
    <w:p w:rsidR="00FC2517" w:rsidRDefault="00C53C9D">
      <w:pPr>
        <w:pStyle w:val="Standard"/>
        <w:tabs>
          <w:tab w:val="left" w:pos="2447"/>
          <w:tab w:val="left" w:pos="3233"/>
          <w:tab w:val="left" w:pos="4193"/>
          <w:tab w:val="left" w:pos="5153"/>
          <w:tab w:val="left" w:pos="6113"/>
          <w:tab w:val="left" w:pos="7073"/>
          <w:tab w:val="left" w:pos="8033"/>
          <w:tab w:val="left" w:pos="8993"/>
        </w:tabs>
        <w:autoSpaceDE w:val="0"/>
        <w:ind w:left="1313" w:right="-4" w:hanging="742"/>
        <w:jc w:val="both"/>
      </w:pPr>
      <w:r>
        <w:rPr>
          <w:sz w:val="24"/>
        </w:rPr>
        <w:t>（</w:t>
      </w:r>
      <w:r>
        <w:rPr>
          <w:rFonts w:ascii="Times New Roman" w:hAnsi="Times New Roman" w:cs="Times New Roman"/>
          <w:sz w:val="24"/>
        </w:rPr>
        <w:t>三</w:t>
      </w:r>
      <w:r>
        <w:rPr>
          <w:sz w:val="24"/>
        </w:rPr>
        <w:t>）學生：指於前款各目學校就讀或參與非學校型態實驗教育，具有我國國籍者。</w:t>
      </w:r>
    </w:p>
    <w:p w:rsidR="00FC2517" w:rsidRDefault="00C53C9D">
      <w:pPr>
        <w:pStyle w:val="Standard"/>
        <w:ind w:left="444" w:hanging="444"/>
        <w:jc w:val="both"/>
      </w:pPr>
      <w:r>
        <w:rPr>
          <w:sz w:val="24"/>
        </w:rPr>
        <w:t>三、本部設國際數理學科奧林匹亞競賽諮詢會（以下簡稱諮詢會），其任務如下：</w:t>
      </w:r>
    </w:p>
    <w:p w:rsidR="00FC2517" w:rsidRDefault="00C53C9D">
      <w:pPr>
        <w:pStyle w:val="Standard"/>
        <w:tabs>
          <w:tab w:val="left" w:pos="2447"/>
          <w:tab w:val="left" w:pos="3233"/>
          <w:tab w:val="left" w:pos="4193"/>
          <w:tab w:val="left" w:pos="5153"/>
          <w:tab w:val="left" w:pos="6113"/>
          <w:tab w:val="left" w:pos="7073"/>
          <w:tab w:val="left" w:pos="8033"/>
          <w:tab w:val="left" w:pos="8993"/>
        </w:tabs>
        <w:autoSpaceDE w:val="0"/>
        <w:ind w:left="1313" w:right="-4" w:hanging="742"/>
        <w:jc w:val="both"/>
        <w:rPr>
          <w:sz w:val="24"/>
        </w:rPr>
      </w:pPr>
      <w:r>
        <w:rPr>
          <w:sz w:val="24"/>
        </w:rPr>
        <w:t>（一）參加本競賽選訓計畫之審議。</w:t>
      </w:r>
    </w:p>
    <w:p w:rsidR="00FC2517" w:rsidRDefault="00C53C9D">
      <w:pPr>
        <w:pStyle w:val="Standard"/>
        <w:tabs>
          <w:tab w:val="left" w:pos="2447"/>
          <w:tab w:val="left" w:pos="3233"/>
          <w:tab w:val="left" w:pos="4193"/>
          <w:tab w:val="left" w:pos="5153"/>
          <w:tab w:val="left" w:pos="6113"/>
          <w:tab w:val="left" w:pos="7073"/>
          <w:tab w:val="left" w:pos="8033"/>
          <w:tab w:val="left" w:pos="8993"/>
        </w:tabs>
        <w:autoSpaceDE w:val="0"/>
        <w:ind w:left="1313" w:right="-4" w:hanging="742"/>
        <w:jc w:val="both"/>
        <w:rPr>
          <w:sz w:val="24"/>
        </w:rPr>
      </w:pPr>
      <w:r>
        <w:rPr>
          <w:sz w:val="24"/>
        </w:rPr>
        <w:t>（二）國家代表隊名單之審議。</w:t>
      </w:r>
    </w:p>
    <w:p w:rsidR="00FC2517" w:rsidRDefault="00C53C9D">
      <w:pPr>
        <w:pStyle w:val="Standard"/>
        <w:tabs>
          <w:tab w:val="left" w:pos="2447"/>
          <w:tab w:val="left" w:pos="3233"/>
          <w:tab w:val="left" w:pos="4193"/>
          <w:tab w:val="left" w:pos="5153"/>
          <w:tab w:val="left" w:pos="6113"/>
          <w:tab w:val="left" w:pos="7073"/>
          <w:tab w:val="left" w:pos="8033"/>
          <w:tab w:val="left" w:pos="8993"/>
        </w:tabs>
        <w:autoSpaceDE w:val="0"/>
        <w:ind w:left="1313" w:right="-4" w:hanging="742"/>
        <w:jc w:val="both"/>
        <w:rPr>
          <w:sz w:val="24"/>
        </w:rPr>
      </w:pPr>
      <w:r>
        <w:rPr>
          <w:sz w:val="24"/>
        </w:rPr>
        <w:t>（三）參賽成果之檢討。</w:t>
      </w:r>
    </w:p>
    <w:p w:rsidR="00FC2517" w:rsidRDefault="00C53C9D">
      <w:pPr>
        <w:pStyle w:val="Standard"/>
        <w:tabs>
          <w:tab w:val="left" w:pos="2447"/>
          <w:tab w:val="left" w:pos="3233"/>
          <w:tab w:val="left" w:pos="4193"/>
          <w:tab w:val="left" w:pos="5153"/>
          <w:tab w:val="left" w:pos="6113"/>
          <w:tab w:val="left" w:pos="7073"/>
          <w:tab w:val="left" w:pos="8033"/>
          <w:tab w:val="left" w:pos="8993"/>
        </w:tabs>
        <w:autoSpaceDE w:val="0"/>
        <w:ind w:left="1313" w:right="-4" w:hanging="742"/>
        <w:jc w:val="both"/>
        <w:rPr>
          <w:sz w:val="24"/>
        </w:rPr>
      </w:pPr>
      <w:r>
        <w:rPr>
          <w:sz w:val="24"/>
        </w:rPr>
        <w:t>（四）其他有關本競賽之事項。</w:t>
      </w:r>
    </w:p>
    <w:p w:rsidR="00FC2517" w:rsidRDefault="00C53C9D">
      <w:pPr>
        <w:pStyle w:val="Standard"/>
        <w:ind w:left="442" w:firstLine="494"/>
        <w:jc w:val="both"/>
        <w:rPr>
          <w:sz w:val="24"/>
        </w:rPr>
      </w:pPr>
      <w:r>
        <w:rPr>
          <w:sz w:val="24"/>
        </w:rPr>
        <w:t>前項各款事項經諮詢會決議後，應報本部核定。</w:t>
      </w:r>
    </w:p>
    <w:p w:rsidR="00FC2517" w:rsidRDefault="00C53C9D">
      <w:pPr>
        <w:pStyle w:val="Standard"/>
        <w:ind w:left="442" w:firstLine="494"/>
        <w:jc w:val="both"/>
        <w:rPr>
          <w:sz w:val="24"/>
        </w:rPr>
      </w:pPr>
      <w:r>
        <w:rPr>
          <w:sz w:val="24"/>
        </w:rPr>
        <w:t>諮詢會下設各學科工作小組，辦理下列事項：</w:t>
      </w:r>
    </w:p>
    <w:p w:rsidR="00FC2517" w:rsidRDefault="00C53C9D">
      <w:pPr>
        <w:pStyle w:val="Standard"/>
        <w:tabs>
          <w:tab w:val="left" w:pos="2447"/>
          <w:tab w:val="left" w:pos="3233"/>
          <w:tab w:val="left" w:pos="4193"/>
          <w:tab w:val="left" w:pos="5153"/>
          <w:tab w:val="left" w:pos="6113"/>
          <w:tab w:val="left" w:pos="7073"/>
          <w:tab w:val="left" w:pos="8033"/>
          <w:tab w:val="left" w:pos="8993"/>
        </w:tabs>
        <w:autoSpaceDE w:val="0"/>
        <w:ind w:left="1313" w:right="-4" w:hanging="742"/>
        <w:jc w:val="both"/>
        <w:rPr>
          <w:sz w:val="24"/>
        </w:rPr>
      </w:pPr>
      <w:r>
        <w:rPr>
          <w:sz w:val="24"/>
        </w:rPr>
        <w:t>（一）我國與本競賽主辦國之聯繫。</w:t>
      </w:r>
    </w:p>
    <w:p w:rsidR="00FC2517" w:rsidRDefault="00C53C9D">
      <w:pPr>
        <w:pStyle w:val="Standard"/>
        <w:tabs>
          <w:tab w:val="left" w:pos="2447"/>
          <w:tab w:val="left" w:pos="3233"/>
          <w:tab w:val="left" w:pos="4193"/>
          <w:tab w:val="left" w:pos="5153"/>
          <w:tab w:val="left" w:pos="6113"/>
          <w:tab w:val="left" w:pos="7073"/>
          <w:tab w:val="left" w:pos="8033"/>
          <w:tab w:val="left" w:pos="8993"/>
        </w:tabs>
        <w:autoSpaceDE w:val="0"/>
        <w:ind w:left="1313" w:right="-4" w:hanging="742"/>
        <w:jc w:val="both"/>
        <w:rPr>
          <w:sz w:val="24"/>
        </w:rPr>
      </w:pPr>
      <w:r>
        <w:rPr>
          <w:sz w:val="24"/>
        </w:rPr>
        <w:t>（二）各學科試題之研發。</w:t>
      </w:r>
    </w:p>
    <w:p w:rsidR="00FC2517" w:rsidRDefault="00C53C9D">
      <w:pPr>
        <w:pStyle w:val="Standard"/>
        <w:tabs>
          <w:tab w:val="left" w:pos="2447"/>
          <w:tab w:val="left" w:pos="3233"/>
          <w:tab w:val="left" w:pos="4193"/>
          <w:tab w:val="left" w:pos="5153"/>
          <w:tab w:val="left" w:pos="6113"/>
          <w:tab w:val="left" w:pos="7073"/>
          <w:tab w:val="left" w:pos="8033"/>
          <w:tab w:val="left" w:pos="8993"/>
        </w:tabs>
        <w:autoSpaceDE w:val="0"/>
        <w:ind w:left="1313" w:right="-4" w:hanging="742"/>
        <w:jc w:val="both"/>
        <w:rPr>
          <w:sz w:val="24"/>
        </w:rPr>
      </w:pPr>
      <w:r>
        <w:rPr>
          <w:sz w:val="24"/>
        </w:rPr>
        <w:t>（三）遴選及試務之執行。</w:t>
      </w:r>
    </w:p>
    <w:p w:rsidR="00FC2517" w:rsidRDefault="00C53C9D">
      <w:pPr>
        <w:pStyle w:val="Standard"/>
        <w:tabs>
          <w:tab w:val="left" w:pos="2447"/>
          <w:tab w:val="left" w:pos="3233"/>
          <w:tab w:val="left" w:pos="4193"/>
          <w:tab w:val="left" w:pos="5153"/>
          <w:tab w:val="left" w:pos="6113"/>
          <w:tab w:val="left" w:pos="7073"/>
          <w:tab w:val="left" w:pos="8033"/>
          <w:tab w:val="left" w:pos="8993"/>
        </w:tabs>
        <w:autoSpaceDE w:val="0"/>
        <w:ind w:left="1313" w:right="-4" w:hanging="742"/>
        <w:jc w:val="both"/>
        <w:rPr>
          <w:sz w:val="24"/>
        </w:rPr>
      </w:pPr>
      <w:r>
        <w:rPr>
          <w:sz w:val="24"/>
        </w:rPr>
        <w:t>（四）學生之培訓。</w:t>
      </w:r>
    </w:p>
    <w:p w:rsidR="00FC2517" w:rsidRDefault="00C53C9D">
      <w:pPr>
        <w:pStyle w:val="Standard"/>
        <w:ind w:left="436" w:hanging="461"/>
        <w:jc w:val="both"/>
      </w:pPr>
      <w:r>
        <w:rPr>
          <w:sz w:val="24"/>
        </w:rPr>
        <w:t>四、諮詢會置委員二十九人，其中一人為召集人，由本部部長就教育部國民及學前教育署副署長以上層級人員一人派兼之，其餘委員，就行政機關代表五人、高級中等學校及國民中學校長或辦理非學校型態實驗教育者代表五人、各學科學會代表每學科一人及專家學者二人聘（派）兼之；任一性別委員人數不得少於</w:t>
      </w:r>
      <w:r>
        <w:rPr>
          <w:sz w:val="24"/>
        </w:rPr>
        <w:lastRenderedPageBreak/>
        <w:t>委員總人數三分之一。</w:t>
      </w:r>
    </w:p>
    <w:p w:rsidR="00FC2517" w:rsidRDefault="00C53C9D">
      <w:pPr>
        <w:pStyle w:val="Standard"/>
        <w:ind w:left="442" w:firstLine="494"/>
        <w:jc w:val="both"/>
        <w:rPr>
          <w:sz w:val="24"/>
        </w:rPr>
      </w:pPr>
      <w:r>
        <w:rPr>
          <w:sz w:val="24"/>
        </w:rPr>
        <w:t>諮詢會委員任期二年，期滿得續聘。</w:t>
      </w:r>
    </w:p>
    <w:p w:rsidR="00FC2517" w:rsidRDefault="00C53C9D">
      <w:pPr>
        <w:pStyle w:val="Standard"/>
        <w:ind w:left="442" w:firstLine="494"/>
        <w:jc w:val="both"/>
        <w:rPr>
          <w:sz w:val="24"/>
        </w:rPr>
      </w:pPr>
      <w:r>
        <w:rPr>
          <w:sz w:val="24"/>
        </w:rPr>
        <w:t>各學科工作小組各置主持人一人，由召集人指派相關人員兼任，負責前點第三項各款事項；各學科工作小組各置工作人員若干人，其名單應提經諮詢會確認後，由主持人所屬學校或機構聘任之。</w:t>
      </w:r>
    </w:p>
    <w:p w:rsidR="00FC2517" w:rsidRDefault="00C53C9D">
      <w:pPr>
        <w:pStyle w:val="Standard"/>
        <w:ind w:left="436" w:hanging="461"/>
        <w:jc w:val="both"/>
        <w:rPr>
          <w:sz w:val="24"/>
        </w:rPr>
      </w:pPr>
      <w:r>
        <w:rPr>
          <w:sz w:val="24"/>
        </w:rPr>
        <w:t>五、諮詢</w:t>
      </w:r>
      <w:r>
        <w:rPr>
          <w:sz w:val="24"/>
        </w:rPr>
        <w:t>會應定期召開會議，必要時得召開臨時會議。</w:t>
      </w:r>
    </w:p>
    <w:p w:rsidR="00FC2517" w:rsidRDefault="00C53C9D">
      <w:pPr>
        <w:pStyle w:val="Standard"/>
        <w:ind w:left="442" w:firstLine="494"/>
        <w:jc w:val="both"/>
        <w:rPr>
          <w:sz w:val="24"/>
        </w:rPr>
      </w:pPr>
      <w:r>
        <w:rPr>
          <w:sz w:val="24"/>
        </w:rPr>
        <w:t>諮詢會開會時，應有全體委員過半數之出席及出席委員過半數之同意，始得決議。</w:t>
      </w:r>
    </w:p>
    <w:p w:rsidR="00FC2517" w:rsidRDefault="00C53C9D">
      <w:pPr>
        <w:pStyle w:val="Standard"/>
        <w:ind w:left="436" w:hanging="461"/>
        <w:jc w:val="both"/>
        <w:rPr>
          <w:sz w:val="24"/>
        </w:rPr>
      </w:pPr>
      <w:r>
        <w:rPr>
          <w:sz w:val="24"/>
        </w:rPr>
        <w:t>六、各學科工作小組應依本部核定之第三點第一項第一款選訓計畫，按初選、複選、培訓及決選四階段，辦理參加本競賽學生之遴選。</w:t>
      </w:r>
    </w:p>
    <w:p w:rsidR="00FC2517" w:rsidRDefault="00C53C9D">
      <w:pPr>
        <w:pStyle w:val="Standard"/>
        <w:ind w:left="442" w:firstLine="494"/>
        <w:jc w:val="both"/>
        <w:rPr>
          <w:sz w:val="24"/>
        </w:rPr>
      </w:pPr>
      <w:r>
        <w:rPr>
          <w:sz w:val="24"/>
        </w:rPr>
        <w:t>前項初選及複選，得視各學科之實際需要，設計不同遴選方式。</w:t>
      </w:r>
    </w:p>
    <w:p w:rsidR="00FC2517" w:rsidRDefault="00C53C9D">
      <w:pPr>
        <w:pStyle w:val="Standard"/>
        <w:ind w:left="436" w:hanging="461"/>
        <w:jc w:val="both"/>
        <w:rPr>
          <w:sz w:val="24"/>
        </w:rPr>
      </w:pPr>
      <w:r>
        <w:rPr>
          <w:sz w:val="24"/>
        </w:rPr>
        <w:t>七、本競賽之相關工作，本部得委由大學或機構</w:t>
      </w:r>
      <w:r>
        <w:rPr>
          <w:sz w:val="24"/>
        </w:rPr>
        <w:t>(</w:t>
      </w:r>
      <w:r>
        <w:rPr>
          <w:sz w:val="24"/>
        </w:rPr>
        <w:t>以下簡稱承辦大學或機構</w:t>
      </w:r>
      <w:r>
        <w:rPr>
          <w:sz w:val="24"/>
        </w:rPr>
        <w:t>)</w:t>
      </w:r>
      <w:r>
        <w:rPr>
          <w:sz w:val="24"/>
        </w:rPr>
        <w:t>辦理，所需經費，由本部編列預算支應。</w:t>
      </w:r>
    </w:p>
    <w:p w:rsidR="00FC2517" w:rsidRDefault="00C53C9D">
      <w:pPr>
        <w:pStyle w:val="Standard"/>
        <w:ind w:left="436" w:hanging="461"/>
        <w:jc w:val="both"/>
        <w:rPr>
          <w:sz w:val="24"/>
        </w:rPr>
      </w:pPr>
      <w:r>
        <w:rPr>
          <w:sz w:val="24"/>
        </w:rPr>
        <w:t>八、參加本競賽之學生，應由就讀學校於各學科選訓計畫所定期間內，向承辦大學或機構報名。但參與高級中等教育階段非學校型態實驗教育且未取得學籍學生之報名，由直轄市、縣</w:t>
      </w:r>
      <w:r>
        <w:rPr>
          <w:sz w:val="24"/>
        </w:rPr>
        <w:t>(</w:t>
      </w:r>
      <w:r>
        <w:rPr>
          <w:sz w:val="24"/>
        </w:rPr>
        <w:t>市</w:t>
      </w:r>
      <w:r>
        <w:rPr>
          <w:sz w:val="24"/>
        </w:rPr>
        <w:t>)</w:t>
      </w:r>
      <w:r>
        <w:rPr>
          <w:sz w:val="24"/>
        </w:rPr>
        <w:t>主管機關為之。</w:t>
      </w:r>
    </w:p>
    <w:p w:rsidR="00FC2517" w:rsidRDefault="00C53C9D">
      <w:pPr>
        <w:pStyle w:val="Standard"/>
        <w:ind w:left="436" w:hanging="461"/>
        <w:jc w:val="both"/>
        <w:rPr>
          <w:sz w:val="24"/>
        </w:rPr>
      </w:pPr>
      <w:r>
        <w:rPr>
          <w:sz w:val="24"/>
        </w:rPr>
        <w:t>九、各學科工作小組主持人及工作人員，有涉及本人、配偶或三親等內血親、姻親之關係者參加競賽時，應行迴避。</w:t>
      </w:r>
    </w:p>
    <w:p w:rsidR="00FC2517" w:rsidRDefault="00C53C9D">
      <w:pPr>
        <w:pStyle w:val="Standard"/>
        <w:ind w:left="442" w:firstLine="494"/>
        <w:jc w:val="both"/>
        <w:rPr>
          <w:sz w:val="24"/>
        </w:rPr>
      </w:pPr>
      <w:r>
        <w:rPr>
          <w:sz w:val="24"/>
        </w:rPr>
        <w:t>前項人員有應迴避情形而不自行迴避，或有具體事實足認其執行職務有偏頗之虞者，利害關係人得申請迴避。</w:t>
      </w:r>
    </w:p>
    <w:sectPr w:rsidR="00FC2517">
      <w:footerReference w:type="default" r:id="rId8"/>
      <w:pgSz w:w="11906" w:h="16838"/>
      <w:pgMar w:top="1418" w:right="1418" w:bottom="1418" w:left="1701" w:header="720" w:footer="992"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3C9D">
      <w:pPr>
        <w:rPr>
          <w:rFonts w:hint="eastAsia"/>
        </w:rPr>
      </w:pPr>
      <w:r>
        <w:separator/>
      </w:r>
    </w:p>
  </w:endnote>
  <w:endnote w:type="continuationSeparator" w:id="0">
    <w:p w:rsidR="00000000" w:rsidRDefault="00C53C9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微軟正黑體">
    <w:altName w:val="ParkAvenue BT"/>
    <w:charset w:val="00"/>
    <w:family w:val="script"/>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0AFF" w:usb1="00007843" w:usb2="00000001" w:usb3="00000000" w:csb0="000001BF" w:csb1="00000000"/>
  </w:font>
  <w:font w:name="新細明體, PMingLiU">
    <w:charset w:val="00"/>
    <w:family w:val="roman"/>
    <w:pitch w:val="variable"/>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841" w:rsidRDefault="00C53C9D">
    <w:pPr>
      <w:pStyle w:val="a6"/>
      <w:jc w:val="center"/>
    </w:pPr>
    <w:r>
      <w:fldChar w:fldCharType="begin"/>
    </w:r>
    <w:r>
      <w:instrText xml:space="preserve"> PAGE </w:instrText>
    </w:r>
    <w:r>
      <w:fldChar w:fldCharType="separate"/>
    </w:r>
    <w:r>
      <w:rPr>
        <w:noProof/>
      </w:rPr>
      <w:t>2</w:t>
    </w:r>
    <w:r>
      <w:fldChar w:fldCharType="end"/>
    </w:r>
  </w:p>
  <w:p w:rsidR="004E5841" w:rsidRDefault="00C53C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3C9D">
      <w:pPr>
        <w:rPr>
          <w:rFonts w:hint="eastAsia"/>
        </w:rPr>
      </w:pPr>
      <w:r>
        <w:rPr>
          <w:color w:val="000000"/>
        </w:rPr>
        <w:separator/>
      </w:r>
    </w:p>
  </w:footnote>
  <w:footnote w:type="continuationSeparator" w:id="0">
    <w:p w:rsidR="00000000" w:rsidRDefault="00C53C9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57F1F"/>
    <w:multiLevelType w:val="multilevel"/>
    <w:tmpl w:val="246C9982"/>
    <w:styleLink w:val="WW8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16A62150"/>
    <w:multiLevelType w:val="multilevel"/>
    <w:tmpl w:val="683E6FE0"/>
    <w:styleLink w:val="WW8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28173EF5"/>
    <w:multiLevelType w:val="multilevel"/>
    <w:tmpl w:val="1966D3FC"/>
    <w:styleLink w:val="WW8Num8"/>
    <w:lvl w:ilvl="0">
      <w:numFmt w:val="bullet"/>
      <w:lvlText w:val="□"/>
      <w:lvlJc w:val="left"/>
      <w:rPr>
        <w:rFonts w:ascii="標楷體, 微軟正黑體" w:eastAsia="標楷體, 微軟正黑體" w:hAnsi="標楷體, 微軟正黑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3">
    <w:nsid w:val="2FEA61AA"/>
    <w:multiLevelType w:val="multilevel"/>
    <w:tmpl w:val="051445E0"/>
    <w:styleLink w:val="WW8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340C5E08"/>
    <w:multiLevelType w:val="multilevel"/>
    <w:tmpl w:val="2F2AA2F6"/>
    <w:styleLink w:val="WW8Num3"/>
    <w:lvl w:ilvl="0">
      <w:start w:val="1"/>
      <w:numFmt w:val="japaneseCounting"/>
      <w:lvlText w:val="%1、"/>
      <w:lvlJc w:val="left"/>
      <w:rPr>
        <w:sz w:val="24"/>
        <w:szCs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435E38BB"/>
    <w:multiLevelType w:val="multilevel"/>
    <w:tmpl w:val="2796331E"/>
    <w:styleLink w:val="WW8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4506317F"/>
    <w:multiLevelType w:val="multilevel"/>
    <w:tmpl w:val="3858F8F0"/>
    <w:styleLink w:val="WW8Num1"/>
    <w:lvl w:ilvl="0">
      <w:start w:val="1"/>
      <w:numFmt w:val="japaneseCounting"/>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7">
    <w:nsid w:val="50EA5ED3"/>
    <w:multiLevelType w:val="multilevel"/>
    <w:tmpl w:val="0CD2581A"/>
    <w:styleLink w:val="WW8Num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6"/>
  </w:num>
  <w:num w:numId="2">
    <w:abstractNumId w:val="7"/>
  </w:num>
  <w:num w:numId="3">
    <w:abstractNumId w:val="4"/>
  </w:num>
  <w:num w:numId="4">
    <w:abstractNumId w:val="1"/>
  </w:num>
  <w:num w:numId="5">
    <w:abstractNumId w:val="3"/>
  </w:num>
  <w:num w:numId="6">
    <w:abstractNumId w:val="0"/>
  </w:num>
  <w:num w:numId="7">
    <w:abstractNumId w:val="5"/>
  </w:num>
  <w:num w:numId="8">
    <w:abstractNumId w:val="2"/>
  </w:num>
  <w:num w:numId="9">
    <w:abstractNumId w:val="0"/>
    <w:lvlOverride w:ilvl="0">
      <w:startOverride w:val="1"/>
    </w:lvlOverride>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C2517"/>
    <w:rsid w:val="00C53C9D"/>
    <w:rsid w:val="00FC25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標楷體, 微軟正黑體" w:eastAsia="標楷體, 微軟正黑體" w:hAnsi="標楷體, 微軟正黑體" w:cs="標楷體, 微軟正黑體"/>
      <w:sz w:val="28"/>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Cs w:val="28"/>
    </w:rPr>
  </w:style>
  <w:style w:type="paragraph" w:customStyle="1" w:styleId="Textbody">
    <w:name w:val="Text body"/>
    <w:basedOn w:val="Standard"/>
    <w:pPr>
      <w:snapToGrid w:val="0"/>
      <w:spacing w:line="480" w:lineRule="exact"/>
    </w:pPr>
    <w:rPr>
      <w:rFonts w:ascii="Times New Roman" w:hAnsi="Times New Roman" w:cs="Times New Roman"/>
      <w:sz w:val="32"/>
      <w:szCs w:val="20"/>
    </w:r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styleId="a5">
    <w:name w:val="Balloon Text"/>
    <w:basedOn w:val="Standard"/>
    <w:rPr>
      <w:rFonts w:ascii="Arial" w:eastAsia="新細明體, PMingLiU" w:hAnsi="Arial" w:cs="Arial"/>
      <w:sz w:val="18"/>
      <w:szCs w:val="18"/>
    </w:rPr>
  </w:style>
  <w:style w:type="paragraph" w:customStyle="1" w:styleId="Textbodyindent">
    <w:name w:val="Text body indent"/>
    <w:basedOn w:val="Standard"/>
    <w:pPr>
      <w:tabs>
        <w:tab w:val="left" w:pos="1960"/>
      </w:tabs>
      <w:spacing w:before="190" w:after="190" w:line="400" w:lineRule="exact"/>
      <w:ind w:left="700" w:hanging="700"/>
      <w:jc w:val="both"/>
    </w:pPr>
    <w:rPr>
      <w:szCs w:val="28"/>
    </w:rPr>
  </w:style>
  <w:style w:type="paragraph" w:styleId="a6">
    <w:name w:val="footer"/>
    <w:basedOn w:val="Standard"/>
    <w:pPr>
      <w:tabs>
        <w:tab w:val="center" w:pos="4153"/>
        <w:tab w:val="right" w:pos="8306"/>
      </w:tabs>
      <w:snapToGrid w:val="0"/>
    </w:pPr>
    <w:rPr>
      <w:sz w:val="20"/>
      <w:szCs w:val="20"/>
    </w:rPr>
  </w:style>
  <w:style w:type="paragraph" w:styleId="a7">
    <w:name w:val="header"/>
    <w:basedOn w:val="Standard"/>
    <w:pPr>
      <w:tabs>
        <w:tab w:val="center" w:pos="4153"/>
        <w:tab w:val="right" w:pos="8306"/>
      </w:tabs>
      <w:snapToGrid w:val="0"/>
    </w:pPr>
    <w:rPr>
      <w:sz w:val="20"/>
      <w:szCs w:val="20"/>
    </w:rPr>
  </w:style>
  <w:style w:type="paragraph" w:styleId="2">
    <w:name w:val="Body Text Indent 2"/>
    <w:basedOn w:val="Standard"/>
    <w:pPr>
      <w:spacing w:after="120" w:line="480" w:lineRule="auto"/>
      <w:ind w:left="480"/>
    </w:pPr>
  </w:style>
  <w:style w:type="character" w:customStyle="1" w:styleId="WW8Num1z0">
    <w:name w:val="WW8Num1z0"/>
    <w:rPr>
      <w:rFonts w:cs="Times New Roman"/>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微軟正黑體" w:eastAsia="標楷體, 微軟正黑體" w:hAnsi="標楷體, 微軟正黑體" w:cs="Times New Roman"/>
    </w:rPr>
  </w:style>
  <w:style w:type="character" w:customStyle="1" w:styleId="WW8Num8z1">
    <w:name w:val="WW8Num8z1"/>
    <w:rPr>
      <w:rFonts w:ascii="Wingdings" w:hAnsi="Wingdings" w:cs="Wingdings"/>
    </w:rPr>
  </w:style>
  <w:style w:type="character" w:customStyle="1" w:styleId="Internetlink">
    <w:name w:val="Internet link"/>
    <w:rPr>
      <w:color w:val="0000FF"/>
      <w:u w:val="single"/>
    </w:rPr>
  </w:style>
  <w:style w:type="character" w:styleId="a8">
    <w:name w:val="page number"/>
    <w:basedOn w:val="a0"/>
  </w:style>
  <w:style w:type="character" w:customStyle="1" w:styleId="a9">
    <w:name w:val="頁首 字元"/>
    <w:rPr>
      <w:rFonts w:ascii="標楷體, 微軟正黑體" w:eastAsia="標楷體, 微軟正黑體" w:hAnsi="標楷體, 微軟正黑體" w:cs="標楷體, 微軟正黑體"/>
    </w:rPr>
  </w:style>
  <w:style w:type="character" w:customStyle="1" w:styleId="aa">
    <w:name w:val="本文縮排 字元"/>
    <w:rPr>
      <w:rFonts w:ascii="標楷體, 微軟正黑體" w:eastAsia="標楷體, 微軟正黑體" w:hAnsi="標楷體, 微軟正黑體" w:cs="標楷體, 微軟正黑體"/>
      <w:sz w:val="28"/>
      <w:szCs w:val="28"/>
    </w:rPr>
  </w:style>
  <w:style w:type="character" w:customStyle="1" w:styleId="ab">
    <w:name w:val="本文 字元"/>
    <w:rPr>
      <w:rFonts w:eastAsia="標楷體, 微軟正黑體"/>
      <w:kern w:val="3"/>
      <w:sz w:val="32"/>
    </w:rPr>
  </w:style>
  <w:style w:type="character" w:customStyle="1" w:styleId="20">
    <w:name w:val="本文縮排 2 字元"/>
    <w:rPr>
      <w:rFonts w:ascii="標楷體, 微軟正黑體" w:eastAsia="標楷體, 微軟正黑體" w:hAnsi="標楷體, 微軟正黑體" w:cs="標楷體, 微軟正黑體"/>
      <w:sz w:val="28"/>
      <w:szCs w:val="24"/>
    </w:rPr>
  </w:style>
  <w:style w:type="character" w:customStyle="1" w:styleId="ac">
    <w:name w:val="頁尾 字元"/>
    <w:rPr>
      <w:rFonts w:ascii="標楷體, 微軟正黑體" w:eastAsia="標楷體, 微軟正黑體" w:hAnsi="標楷體, 微軟正黑體" w:cs="標楷體, 微軟正黑體"/>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標楷體, 微軟正黑體" w:eastAsia="標楷體, 微軟正黑體" w:hAnsi="標楷體, 微軟正黑體" w:cs="標楷體, 微軟正黑體"/>
      <w:sz w:val="28"/>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Cs w:val="28"/>
    </w:rPr>
  </w:style>
  <w:style w:type="paragraph" w:customStyle="1" w:styleId="Textbody">
    <w:name w:val="Text body"/>
    <w:basedOn w:val="Standard"/>
    <w:pPr>
      <w:snapToGrid w:val="0"/>
      <w:spacing w:line="480" w:lineRule="exact"/>
    </w:pPr>
    <w:rPr>
      <w:rFonts w:ascii="Times New Roman" w:hAnsi="Times New Roman" w:cs="Times New Roman"/>
      <w:sz w:val="32"/>
      <w:szCs w:val="20"/>
    </w:r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styleId="a5">
    <w:name w:val="Balloon Text"/>
    <w:basedOn w:val="Standard"/>
    <w:rPr>
      <w:rFonts w:ascii="Arial" w:eastAsia="新細明體, PMingLiU" w:hAnsi="Arial" w:cs="Arial"/>
      <w:sz w:val="18"/>
      <w:szCs w:val="18"/>
    </w:rPr>
  </w:style>
  <w:style w:type="paragraph" w:customStyle="1" w:styleId="Textbodyindent">
    <w:name w:val="Text body indent"/>
    <w:basedOn w:val="Standard"/>
    <w:pPr>
      <w:tabs>
        <w:tab w:val="left" w:pos="1960"/>
      </w:tabs>
      <w:spacing w:before="190" w:after="190" w:line="400" w:lineRule="exact"/>
      <w:ind w:left="700" w:hanging="700"/>
      <w:jc w:val="both"/>
    </w:pPr>
    <w:rPr>
      <w:szCs w:val="28"/>
    </w:rPr>
  </w:style>
  <w:style w:type="paragraph" w:styleId="a6">
    <w:name w:val="footer"/>
    <w:basedOn w:val="Standard"/>
    <w:pPr>
      <w:tabs>
        <w:tab w:val="center" w:pos="4153"/>
        <w:tab w:val="right" w:pos="8306"/>
      </w:tabs>
      <w:snapToGrid w:val="0"/>
    </w:pPr>
    <w:rPr>
      <w:sz w:val="20"/>
      <w:szCs w:val="20"/>
    </w:rPr>
  </w:style>
  <w:style w:type="paragraph" w:styleId="a7">
    <w:name w:val="header"/>
    <w:basedOn w:val="Standard"/>
    <w:pPr>
      <w:tabs>
        <w:tab w:val="center" w:pos="4153"/>
        <w:tab w:val="right" w:pos="8306"/>
      </w:tabs>
      <w:snapToGrid w:val="0"/>
    </w:pPr>
    <w:rPr>
      <w:sz w:val="20"/>
      <w:szCs w:val="20"/>
    </w:rPr>
  </w:style>
  <w:style w:type="paragraph" w:styleId="2">
    <w:name w:val="Body Text Indent 2"/>
    <w:basedOn w:val="Standard"/>
    <w:pPr>
      <w:spacing w:after="120" w:line="480" w:lineRule="auto"/>
      <w:ind w:left="480"/>
    </w:pPr>
  </w:style>
  <w:style w:type="character" w:customStyle="1" w:styleId="WW8Num1z0">
    <w:name w:val="WW8Num1z0"/>
    <w:rPr>
      <w:rFonts w:cs="Times New Roman"/>
    </w:rPr>
  </w:style>
  <w:style w:type="character" w:customStyle="1" w:styleId="WW8Num1z1">
    <w:name w:val="WW8Num1z1"/>
    <w:rPr>
      <w:rFonts w:cs="Times New Roman"/>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微軟正黑體" w:eastAsia="標楷體, 微軟正黑體" w:hAnsi="標楷體, 微軟正黑體" w:cs="Times New Roman"/>
    </w:rPr>
  </w:style>
  <w:style w:type="character" w:customStyle="1" w:styleId="WW8Num8z1">
    <w:name w:val="WW8Num8z1"/>
    <w:rPr>
      <w:rFonts w:ascii="Wingdings" w:hAnsi="Wingdings" w:cs="Wingdings"/>
    </w:rPr>
  </w:style>
  <w:style w:type="character" w:customStyle="1" w:styleId="Internetlink">
    <w:name w:val="Internet link"/>
    <w:rPr>
      <w:color w:val="0000FF"/>
      <w:u w:val="single"/>
    </w:rPr>
  </w:style>
  <w:style w:type="character" w:styleId="a8">
    <w:name w:val="page number"/>
    <w:basedOn w:val="a0"/>
  </w:style>
  <w:style w:type="character" w:customStyle="1" w:styleId="a9">
    <w:name w:val="頁首 字元"/>
    <w:rPr>
      <w:rFonts w:ascii="標楷體, 微軟正黑體" w:eastAsia="標楷體, 微軟正黑體" w:hAnsi="標楷體, 微軟正黑體" w:cs="標楷體, 微軟正黑體"/>
    </w:rPr>
  </w:style>
  <w:style w:type="character" w:customStyle="1" w:styleId="aa">
    <w:name w:val="本文縮排 字元"/>
    <w:rPr>
      <w:rFonts w:ascii="標楷體, 微軟正黑體" w:eastAsia="標楷體, 微軟正黑體" w:hAnsi="標楷體, 微軟正黑體" w:cs="標楷體, 微軟正黑體"/>
      <w:sz w:val="28"/>
      <w:szCs w:val="28"/>
    </w:rPr>
  </w:style>
  <w:style w:type="character" w:customStyle="1" w:styleId="ab">
    <w:name w:val="本文 字元"/>
    <w:rPr>
      <w:rFonts w:eastAsia="標楷體, 微軟正黑體"/>
      <w:kern w:val="3"/>
      <w:sz w:val="32"/>
    </w:rPr>
  </w:style>
  <w:style w:type="character" w:customStyle="1" w:styleId="20">
    <w:name w:val="本文縮排 2 字元"/>
    <w:rPr>
      <w:rFonts w:ascii="標楷體, 微軟正黑體" w:eastAsia="標楷體, 微軟正黑體" w:hAnsi="標楷體, 微軟正黑體" w:cs="標楷體, 微軟正黑體"/>
      <w:sz w:val="28"/>
      <w:szCs w:val="24"/>
    </w:rPr>
  </w:style>
  <w:style w:type="character" w:customStyle="1" w:styleId="ac">
    <w:name w:val="頁尾 字元"/>
    <w:rPr>
      <w:rFonts w:ascii="標楷體, 微軟正黑體" w:eastAsia="標楷體, 微軟正黑體" w:hAnsi="標楷體, 微軟正黑體" w:cs="標楷體, 微軟正黑體"/>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1064</Characters>
  <Application>Microsoft Office Word</Application>
  <DocSecurity>4</DocSecurity>
  <Lines>8</Lines>
  <Paragraphs>2</Paragraphs>
  <ScaleCrop>false</ScaleCrop>
  <Company>USER</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參加國際數理學科奧林匹亞競賽及國際科學展覽成績優良學生出國留學獎學金申請要點</dc:title>
  <dc:creator>tlps</dc:creator>
  <cp:lastModifiedBy>USER</cp:lastModifiedBy>
  <cp:revision>2</cp:revision>
  <dcterms:created xsi:type="dcterms:W3CDTF">2019-06-14T07:04:00Z</dcterms:created>
  <dcterms:modified xsi:type="dcterms:W3CDTF">2019-06-14T07:04:00Z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