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E1" w:rsidRDefault="008E2566">
      <w:pPr>
        <w:pStyle w:val="Textbody"/>
        <w:snapToGrid w:val="0"/>
        <w:ind w:right="-197"/>
        <w:jc w:val="center"/>
      </w:pPr>
      <w:bookmarkStart w:id="0" w:name="_GoBack"/>
      <w:bookmarkEnd w:id="0"/>
      <w:r>
        <w:rPr>
          <w:rFonts w:ascii="標楷體" w:eastAsia="標楷體" w:hAnsi="標楷體"/>
          <w:bCs/>
          <w:sz w:val="40"/>
          <w:szCs w:val="40"/>
        </w:rPr>
        <w:t>特殊教育法施行細則修正條文</w:t>
      </w:r>
    </w:p>
    <w:p w:rsidR="00B377E1" w:rsidRDefault="008E2566">
      <w:pPr>
        <w:pStyle w:val="Standard"/>
        <w:ind w:left="227" w:hanging="227"/>
        <w:jc w:val="both"/>
        <w:rPr>
          <w:rFonts w:ascii="標楷體" w:eastAsia="標楷體" w:hAnsi="標楷體"/>
          <w:color w:val="000000"/>
        </w:rPr>
      </w:pPr>
      <w:bookmarkStart w:id="1" w:name="_Hlk115201924"/>
      <w:r>
        <w:rPr>
          <w:rFonts w:ascii="標楷體" w:eastAsia="標楷體" w:hAnsi="標楷體"/>
          <w:color w:val="000000"/>
        </w:rPr>
        <w:t>第一條　本細則依特殊教育法（以下簡稱本法）第五十六條規定訂定之。</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第二條　特殊教育學生及幼兒之輔導，應以維護兒童及少年最佳利益為原則，其決定涉及不同主體之權利衝突時，應優先考量特殊教育學生及幼兒之保障，並採取符合兒童及少年最佳利益之措施。</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前項輔導，應特別關注特殊教育學生與幼兒表達意見、身心健康、受教育及其他相關權利，並應關注兒童及少年之身分認同、家庭維繫、受照顧、保護與安全及其他相關需求。</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第三條　本法第七條第一項所稱專責單位，指各級主管機關所設具有專責人員及預算，負責辦理特殊教育業務之單位。</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第四條　各級主管機關依本法第八條每年定期辦理特殊教育學生與幼兒狀況調查及教育安置需求人口通報後，應建立及運用各階段特殊教育通報系統，與衛政、社政、</w:t>
      </w:r>
      <w:proofErr w:type="gramStart"/>
      <w:r>
        <w:rPr>
          <w:rFonts w:ascii="標楷體" w:eastAsia="標楷體" w:hAnsi="標楷體"/>
          <w:color w:val="000000"/>
        </w:rPr>
        <w:t>勞</w:t>
      </w:r>
      <w:proofErr w:type="gramEnd"/>
      <w:r>
        <w:rPr>
          <w:rFonts w:ascii="標楷體" w:eastAsia="標楷體" w:hAnsi="標楷體"/>
          <w:color w:val="000000"/>
        </w:rPr>
        <w:t>政主管機關所建立之通報系統互相協調妥善結合，並公布特殊教育概況。</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各級主管機關依本法第八條</w:t>
      </w:r>
      <w:r>
        <w:rPr>
          <w:rFonts w:ascii="標楷體" w:eastAsia="標楷體" w:hAnsi="標楷體"/>
          <w:color w:val="000000"/>
        </w:rPr>
        <w:t>規定出版之統計年報，應包括特殊教育學生、幼兒與師資人數及比率、安置與經費狀況及其他特殊教育通報之項目；並應分析特殊教育相關數據，包括各類各教育階段融合教育實施、特教學生與幼兒鑑定、安置、輔導及支持服務、特殊教育資源分布、轉銜服務及經費使用，作為政策規劃及資源分配之參考。</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第一項特殊教育通報系統之建置及運用，得委託或委辦學校或機關（構）辦理。</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第五條　依本法第十三條第二項規定設立之特殊教育班，指專為身心障礙學生及幼兒或資賦優異學生設置之特殊教育班。</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lastRenderedPageBreak/>
        <w:t xml:space="preserve">　　　依本法第二十八條第一項規定設立之特殊教育學校，包</w:t>
      </w:r>
      <w:r>
        <w:rPr>
          <w:rFonts w:ascii="標楷體" w:eastAsia="標楷體" w:hAnsi="標楷體"/>
          <w:color w:val="000000"/>
        </w:rPr>
        <w:t>括幼兒部、國民小學部、國民中學部、</w:t>
      </w:r>
      <w:proofErr w:type="gramStart"/>
      <w:r>
        <w:rPr>
          <w:rFonts w:ascii="標楷體" w:eastAsia="標楷體" w:hAnsi="標楷體"/>
          <w:color w:val="000000"/>
        </w:rPr>
        <w:t>高級中學部及高級</w:t>
      </w:r>
      <w:proofErr w:type="gramEnd"/>
      <w:r>
        <w:rPr>
          <w:rFonts w:ascii="標楷體" w:eastAsia="標楷體" w:hAnsi="標楷體"/>
          <w:color w:val="000000"/>
        </w:rPr>
        <w:t>職業學校部專為身心障礙學生設置之學校。</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第六條　本法第十三條第二項第一款所定分散式資源班，指學生及幼兒在普通班就讀，部分時間接受特殊教育及相關服務。</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本法第十三條第二項第二款所定巡迴輔導班，指學生及幼兒在家庭、機構、學校或幼兒園，由巡迴輔導教師提供部分時間之特殊教育及相關服務。</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本法第十三條第二項第三款所定集中式特殊教育班，指學生及幼兒全部時間於特殊教育班接受特殊教育及相關服務；為促進融合教育，經課程設計，其部分課程得在普通班接受適性課程，或部分</w:t>
      </w:r>
      <w:r>
        <w:rPr>
          <w:rFonts w:ascii="標楷體" w:eastAsia="標楷體" w:hAnsi="標楷體"/>
          <w:color w:val="000000"/>
        </w:rPr>
        <w:t>學科（領域）得實施跨年級、</w:t>
      </w:r>
      <w:proofErr w:type="gramStart"/>
      <w:r>
        <w:rPr>
          <w:rFonts w:ascii="標楷體" w:eastAsia="標楷體" w:hAnsi="標楷體"/>
          <w:color w:val="000000"/>
        </w:rPr>
        <w:t>跨班教學</w:t>
      </w:r>
      <w:proofErr w:type="gramEnd"/>
      <w:r>
        <w:rPr>
          <w:rFonts w:ascii="標楷體" w:eastAsia="標楷體" w:hAnsi="標楷體"/>
          <w:color w:val="000000"/>
        </w:rPr>
        <w:t>。</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本法第十三條第四項所定特殊教育方案，必要時，得</w:t>
      </w:r>
      <w:proofErr w:type="gramStart"/>
      <w:r>
        <w:rPr>
          <w:rFonts w:ascii="標楷體" w:eastAsia="標楷體" w:hAnsi="標楷體"/>
          <w:color w:val="000000"/>
        </w:rPr>
        <w:t>採</w:t>
      </w:r>
      <w:proofErr w:type="gramEnd"/>
      <w:r>
        <w:rPr>
          <w:rFonts w:ascii="標楷體" w:eastAsia="標楷體" w:hAnsi="標楷體"/>
          <w:color w:val="000000"/>
        </w:rPr>
        <w:t>跨校方式辦理。</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第七條　本法第十八條所定相關人員，指參與特殊教育、融合教育及相關服務措施之其他有關人員，包括特殊教育相關專業人員、教師助理員、特教學生助理人員及其他人員。</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本法第十八條第二項所定融合教育所需之知能，其內涵應考量學校與幼兒園全體學生及幼兒所需之生活適應、人際互動與學習參與之重要知能，包括下列內容：</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一、人類多樣性、特殊教育學生及幼兒特質與輔導。</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二、身心障礙學生及幼兒人權與平等措施。</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三、通用設計、合理調整與個別化支持服務。</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四、無障礙、可及性與社會參與。</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五、課程教學調整、轉銜輔導及終身學習之教育。</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各級主管機關應依前項重要知能，建置融合教育行動方案及示例，並彙整提供簡明、易讀之融合教育宣導課程及教材。</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第八條　本法第二十條第三項所定成年學生、學生或幼兒之法定代理人或實際照顧者不同意進行鑑定安置程序時，幼兒園及高級中等以下學校應通報主管機關。</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高級中等以下學校辦理前項通報主管機關前，應先提報學校特殊教育推行委員會瞭解原因，經確認屬應鑑定而</w:t>
      </w:r>
      <w:proofErr w:type="gramStart"/>
      <w:r>
        <w:rPr>
          <w:rFonts w:ascii="標楷體" w:eastAsia="標楷體" w:hAnsi="標楷體"/>
          <w:color w:val="000000"/>
        </w:rPr>
        <w:t>不</w:t>
      </w:r>
      <w:proofErr w:type="gramEnd"/>
      <w:r>
        <w:rPr>
          <w:rFonts w:ascii="標楷體" w:eastAsia="標楷體" w:hAnsi="標楷體"/>
          <w:color w:val="000000"/>
        </w:rPr>
        <w:t>鑑定者後，再依各該主管機關所定程序</w:t>
      </w:r>
      <w:r>
        <w:rPr>
          <w:rFonts w:ascii="標楷體" w:eastAsia="標楷體" w:hAnsi="標楷體"/>
          <w:color w:val="000000"/>
        </w:rPr>
        <w:t>通報。</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第九條　本法第二十九條所稱特殊教育學校校長應具備特殊教育之專業知能，指應修習本法第七條第三項所定特殊教育學分</w:t>
      </w:r>
      <w:proofErr w:type="gramStart"/>
      <w:r>
        <w:rPr>
          <w:rFonts w:ascii="標楷體" w:eastAsia="標楷體" w:hAnsi="標楷體"/>
          <w:color w:val="000000"/>
        </w:rPr>
        <w:t>三</w:t>
      </w:r>
      <w:proofErr w:type="gramEnd"/>
      <w:r>
        <w:rPr>
          <w:rFonts w:ascii="標楷體" w:eastAsia="標楷體" w:hAnsi="標楷體"/>
          <w:color w:val="000000"/>
        </w:rPr>
        <w:t>學分以上，或參加各級主管機關辦理之特殊教育專業研習五十四小時以上。</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第十條　本法第三十一條所稱個別化教育計畫，指運用團隊合作方式，針對身心障礙學生個別特性所訂定之特殊教育及相關服務計畫；其內容包括下列事項：</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一、學生能力現況、家庭狀況及需求評估。</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二、學生所需特殊教育、相關服務及支持策略。</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三、學年與學期教育目標、達成學期教育目標之評量方式、日期及標準。</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四、具情緒與行為問題學生所需之行為功</w:t>
      </w:r>
      <w:r>
        <w:rPr>
          <w:rFonts w:ascii="標楷體" w:eastAsia="標楷體" w:hAnsi="標楷體"/>
          <w:color w:val="000000"/>
        </w:rPr>
        <w:t>能介入方案及行政支援。</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五、學生之轉銜輔導及服務內容。</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學校應將身心障礙且資賦優異學生之個別輔導計畫內容，併入個別化教育計畫規劃。</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幼兒園為身心障礙幼兒訂定個別化教育計畫時，應</w:t>
      </w:r>
      <w:proofErr w:type="gramStart"/>
      <w:r>
        <w:rPr>
          <w:rFonts w:ascii="標楷體" w:eastAsia="標楷體" w:hAnsi="標楷體"/>
          <w:color w:val="000000"/>
        </w:rPr>
        <w:t>準</w:t>
      </w:r>
      <w:proofErr w:type="gramEnd"/>
      <w:r>
        <w:rPr>
          <w:rFonts w:ascii="標楷體" w:eastAsia="標楷體" w:hAnsi="標楷體"/>
          <w:color w:val="000000"/>
        </w:rPr>
        <w:t>用第一項規定。</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第十一條　本法第三十五條第一項所稱高等教育階段特殊教育方案，指學校應依特殊教育學生特性及學習需求，規劃辦理在校學習、生活輔導及支持服務等；其內容應載明下列事項：</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一、依據。</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二、目的。</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三、實施對象及其特殊教育與支持服務。</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四、人力支援及行政支持。</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五、空間及環境規劃。</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六、辦理期程。</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七、經費概算及來源。</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八、預期成效。</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前項第三款特殊教育與支持服務，包括學生教育需求及在校學習生活適應之生活輔導、課業輔導、生涯輔導及諮詢服務等。</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第十二條　前條特殊教育方案，學校應運用團隊合作方式，整合相關資源，針對身心障礙學生個別特性及需求，訂定個別化支持計畫；其內容包括下列事項：</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一、學生能力現況、家庭狀況及需求評估。</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二、學生所需特殊教育、支持服務及策略。</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三、學生之轉銜輔導及服務內容。</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第十三條　本法第四十二條</w:t>
      </w:r>
      <w:proofErr w:type="gramStart"/>
      <w:r>
        <w:rPr>
          <w:rFonts w:ascii="標楷體" w:eastAsia="標楷體" w:hAnsi="標楷體"/>
          <w:color w:val="000000"/>
        </w:rPr>
        <w:t>所定資賦</w:t>
      </w:r>
      <w:proofErr w:type="gramEnd"/>
      <w:r>
        <w:rPr>
          <w:rFonts w:ascii="標楷體" w:eastAsia="標楷體" w:hAnsi="標楷體"/>
          <w:color w:val="000000"/>
        </w:rPr>
        <w:t>優異學生個別輔導計畫，學校應以團隊合作方式訂定，訂定之人員應包括學校行政人員、特殊教育與相關教師、學生本人及學生之法定代理人或實際照顧者參與；必要時，得邀請相關專業人員參與。</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個別輔導計畫內容應包括下列事項：</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一、學生能力現況、家庭狀況及教育需求評估。</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二、學生所需特殊教育、相關服務與支持策略。</w:t>
      </w:r>
    </w:p>
    <w:p w:rsidR="00B377E1" w:rsidRDefault="008E2566">
      <w:pPr>
        <w:pStyle w:val="Standard"/>
        <w:ind w:left="794" w:hanging="567"/>
        <w:jc w:val="both"/>
        <w:rPr>
          <w:rFonts w:ascii="標楷體" w:eastAsia="標楷體" w:hAnsi="標楷體"/>
          <w:color w:val="000000"/>
        </w:rPr>
      </w:pPr>
      <w:r>
        <w:rPr>
          <w:rFonts w:ascii="標楷體" w:eastAsia="標楷體" w:hAnsi="標楷體"/>
          <w:color w:val="000000"/>
        </w:rPr>
        <w:t>三、教育目標與輔導重點。</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資賦優異學生個別輔導計畫，應於開學前訂定，新生及轉學生應於入學後一個月內訂定初步個別輔導計畫，且每學期應至少檢討一次。</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第十四條　本法第四</w:t>
      </w:r>
      <w:r>
        <w:rPr>
          <w:rFonts w:ascii="標楷體" w:eastAsia="標楷體" w:hAnsi="標楷體"/>
          <w:color w:val="000000"/>
        </w:rPr>
        <w:t>十九條所稱特殊教育相關課程，其內容應包括特殊教育學生及幼兒身心特質與輔導、融合教育、通用設計學習、教導不同學習需求之學生與幼兒之能力及合理調整等知能。</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第十五條　本法第五十條第二項所定設有特殊教育學系之大學校院得附設特殊教育學校（班），包括附設或附屬二種情形，其設立應經專案評估後，報主管機關核定。</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前項附設或附屬特殊教育學校（班），其設立規模及人員編制，</w:t>
      </w:r>
      <w:proofErr w:type="gramStart"/>
      <w:r>
        <w:rPr>
          <w:rFonts w:ascii="標楷體" w:eastAsia="標楷體" w:hAnsi="標楷體"/>
          <w:color w:val="000000"/>
        </w:rPr>
        <w:t>準</w:t>
      </w:r>
      <w:proofErr w:type="gramEnd"/>
      <w:r>
        <w:rPr>
          <w:rFonts w:ascii="標楷體" w:eastAsia="標楷體" w:hAnsi="標楷體"/>
          <w:color w:val="000000"/>
        </w:rPr>
        <w:t>用特殊教育學校設立變更停辦合併及人員編制標準之規定。</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第十六條　本法第五十三條第四項所定大專校院特殊教育評鑑，指中央主管機關應自行組成評鑑委員會或委</w:t>
      </w:r>
      <w:r>
        <w:rPr>
          <w:rFonts w:ascii="標楷體" w:eastAsia="標楷體" w:hAnsi="標楷體"/>
          <w:color w:val="000000"/>
        </w:rPr>
        <w:t>託學術團體、專業評鑑機構每四年為之；其辦理原則及程序</w:t>
      </w:r>
      <w:proofErr w:type="gramStart"/>
      <w:r>
        <w:rPr>
          <w:rFonts w:ascii="標楷體" w:eastAsia="標楷體" w:hAnsi="標楷體"/>
          <w:color w:val="000000"/>
        </w:rPr>
        <w:t>準</w:t>
      </w:r>
      <w:proofErr w:type="gramEnd"/>
      <w:r>
        <w:rPr>
          <w:rFonts w:ascii="標楷體" w:eastAsia="標楷體" w:hAnsi="標楷體"/>
          <w:color w:val="000000"/>
        </w:rPr>
        <w:t>用大學評鑑辦法之規定。</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第十七條　學校依本法第三十一條、第三十五條、第三十六條及第四十二條訂定之個別化教育計畫、個別化支持計畫、生涯轉銜計畫或資賦優異學生個別輔導計畫等特殊教育學生資料，應指定適當場所及人員保管，以書面或電子儲存媒體保存之，並應自學生畢業或離校後，保存十年。</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幼兒園依本法第三十一條及第三十六條訂定相關計畫時，依前項規定辦理。</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前二項特殊教育學生及幼兒資料，學校及幼兒園因故未能繼續保管，其資料應交由承接者依規定保存。</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 xml:space="preserve">　　　已逾</w:t>
      </w:r>
      <w:r>
        <w:rPr>
          <w:rFonts w:ascii="標楷體" w:eastAsia="標楷體" w:hAnsi="標楷體"/>
          <w:color w:val="000000"/>
        </w:rPr>
        <w:t>保存年限之特殊教育學生及幼兒資料，學校及幼兒園應定期銷毀，其銷毀方式應確保特殊教育學生及幼兒資料內容無洩漏之虞，並以每年一次為原則。</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第十八條　社區、部落及職場互助教保服務中心特殊教育之實施，</w:t>
      </w:r>
      <w:proofErr w:type="gramStart"/>
      <w:r>
        <w:rPr>
          <w:rFonts w:ascii="標楷體" w:eastAsia="標楷體" w:hAnsi="標楷體"/>
          <w:color w:val="000000"/>
        </w:rPr>
        <w:t>準</w:t>
      </w:r>
      <w:proofErr w:type="gramEnd"/>
      <w:r>
        <w:rPr>
          <w:rFonts w:ascii="標楷體" w:eastAsia="標楷體" w:hAnsi="標楷體"/>
          <w:color w:val="000000"/>
        </w:rPr>
        <w:t>用第二條、第四條、第七條、第八條、第十條及第十七條所定幼兒園相關規定。</w:t>
      </w:r>
    </w:p>
    <w:p w:rsidR="00B377E1" w:rsidRDefault="008E2566">
      <w:pPr>
        <w:pStyle w:val="Standard"/>
        <w:ind w:left="227" w:hanging="227"/>
        <w:jc w:val="both"/>
        <w:rPr>
          <w:rFonts w:ascii="標楷體" w:eastAsia="標楷體" w:hAnsi="標楷體"/>
          <w:color w:val="000000"/>
        </w:rPr>
      </w:pPr>
      <w:r>
        <w:rPr>
          <w:rFonts w:ascii="標楷體" w:eastAsia="標楷體" w:hAnsi="標楷體"/>
          <w:color w:val="000000"/>
        </w:rPr>
        <w:t>第十九條　本細則自發布日施行。</w:t>
      </w:r>
    </w:p>
    <w:bookmarkEnd w:id="1"/>
    <w:p w:rsidR="00B377E1" w:rsidRDefault="00B377E1">
      <w:pPr>
        <w:pStyle w:val="Standard"/>
        <w:ind w:left="227" w:hanging="227"/>
        <w:jc w:val="both"/>
        <w:rPr>
          <w:rFonts w:ascii="標楷體" w:eastAsia="標楷體" w:hAnsi="標楷體"/>
          <w:color w:val="000000"/>
        </w:rPr>
      </w:pPr>
    </w:p>
    <w:sectPr w:rsidR="00B377E1">
      <w:pgSz w:w="11906" w:h="16838"/>
      <w:pgMar w:top="1440" w:right="1800" w:bottom="1440" w:left="1800" w:header="720" w:footer="720"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566" w:rsidRDefault="008E2566">
      <w:r>
        <w:separator/>
      </w:r>
    </w:p>
  </w:endnote>
  <w:endnote w:type="continuationSeparator" w:id="0">
    <w:p w:rsidR="008E2566" w:rsidRDefault="008E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思源黑體">
    <w:charset w:val="00"/>
    <w:family w:val="swiss"/>
    <w:pitch w:val="variable"/>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566" w:rsidRDefault="008E2566">
      <w:r>
        <w:rPr>
          <w:color w:val="000000"/>
        </w:rPr>
        <w:separator/>
      </w:r>
    </w:p>
  </w:footnote>
  <w:footnote w:type="continuationSeparator" w:id="0">
    <w:p w:rsidR="008E2566" w:rsidRDefault="008E25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C3B9A"/>
    <w:multiLevelType w:val="multilevel"/>
    <w:tmpl w:val="9DF8E0B8"/>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377E1"/>
    <w:rsid w:val="008E2566"/>
    <w:rsid w:val="008E5E98"/>
    <w:rsid w:val="00B377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Textbody"/>
    <w:pPr>
      <w:suppressAutoHyphens w:val="0"/>
      <w:ind w:left="480"/>
      <w:textAlignment w:val="auto"/>
    </w:pPr>
    <w:rPr>
      <w:rFonts w:cs="Times New Roman"/>
    </w:rPr>
  </w:style>
  <w:style w:type="paragraph" w:customStyle="1" w:styleId="Default">
    <w:name w:val="Default"/>
    <w:pPr>
      <w:autoSpaceDE w:val="0"/>
      <w:textAlignment w:val="auto"/>
    </w:pPr>
    <w:rPr>
      <w:rFonts w:ascii="標楷體" w:eastAsia="標楷體" w:hAnsi="標楷體" w:cs="標楷體"/>
      <w:color w:val="000000"/>
      <w:kern w:val="0"/>
      <w:szCs w:val="24"/>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Internetlink">
    <w:name w:val="Internet link"/>
    <w:rPr>
      <w:color w:val="000080"/>
      <w:u w:val="single"/>
    </w:rPr>
  </w:style>
  <w:style w:type="character" w:customStyle="1" w:styleId="aa">
    <w:name w:val="清單段落 字元"/>
    <w:rPr>
      <w:rFonts w:ascii="Calibri" w:eastAsia="新細明體" w:hAnsi="Calibri" w:cs="Times New Roman"/>
      <w:kern w:val="3"/>
    </w:rPr>
  </w:style>
  <w:style w:type="numbering" w:customStyle="1" w:styleId="NoList">
    <w:name w:val="No List"/>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Textbody"/>
    <w:pPr>
      <w:suppressAutoHyphens w:val="0"/>
      <w:ind w:left="480"/>
      <w:textAlignment w:val="auto"/>
    </w:pPr>
    <w:rPr>
      <w:rFonts w:cs="Times New Roman"/>
    </w:rPr>
  </w:style>
  <w:style w:type="paragraph" w:customStyle="1" w:styleId="Default">
    <w:name w:val="Default"/>
    <w:pPr>
      <w:autoSpaceDE w:val="0"/>
      <w:textAlignment w:val="auto"/>
    </w:pPr>
    <w:rPr>
      <w:rFonts w:ascii="標楷體" w:eastAsia="標楷體" w:hAnsi="標楷體" w:cs="標楷體"/>
      <w:color w:val="000000"/>
      <w:kern w:val="0"/>
      <w:szCs w:val="24"/>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Internetlink">
    <w:name w:val="Internet link"/>
    <w:rPr>
      <w:color w:val="000080"/>
      <w:u w:val="single"/>
    </w:rPr>
  </w:style>
  <w:style w:type="character" w:customStyle="1" w:styleId="aa">
    <w:name w:val="清單段落 字元"/>
    <w:rPr>
      <w:rFonts w:ascii="Calibri" w:eastAsia="新細明體" w:hAnsi="Calibri" w:cs="Times New Roman"/>
      <w:kern w:val="3"/>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tis/temp/112-12-19/1617330867/attachs/senddoc2/2_112&#29305;&#25945;&#27861;&#32048;&#21063;&#20462;&#27491;&#30332;&#24067;&#26781;&#25991;(&#26680;&#23450;)1215.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陳宛蓁</dc:creator>
  <cp:lastModifiedBy>O</cp:lastModifiedBy>
  <cp:revision>1</cp:revision>
  <dcterms:created xsi:type="dcterms:W3CDTF">2023-12-18T07:52:00Z</dcterms:created>
  <dcterms:modified xsi:type="dcterms:W3CDTF">2023-12-20T09:21:00Z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FormatCheck">
    <vt:bool>true</vt:bool>
  </property>
</Properties>
</file>