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14" w:rsidRPr="00D20303" w:rsidRDefault="00994810" w:rsidP="00BF0EDC">
      <w:pPr>
        <w:pStyle w:val="aa"/>
        <w:spacing w:beforeLines="50" w:before="120" w:after="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40"/>
          <w:lang w:eastAsia="zh-TW"/>
        </w:rPr>
      </w:pPr>
      <w:r w:rsidRPr="00D20303">
        <w:rPr>
          <w:rFonts w:ascii="微軟正黑體" w:eastAsia="微軟正黑體" w:hAnsi="微軟正黑體"/>
          <w:b/>
          <w:color w:val="000000" w:themeColor="text1"/>
          <w:sz w:val="40"/>
          <w:lang w:eastAsia="zh-TW"/>
        </w:rPr>
        <w:t>花蓮縣自然</w:t>
      </w:r>
      <w:r w:rsidR="00BF0EDC" w:rsidRPr="00D20303">
        <w:rPr>
          <w:rFonts w:ascii="微軟正黑體" w:eastAsia="微軟正黑體" w:hAnsi="微軟正黑體" w:hint="eastAsia"/>
          <w:b/>
          <w:color w:val="000000" w:themeColor="text1"/>
          <w:sz w:val="40"/>
          <w:lang w:eastAsia="zh-TW"/>
        </w:rPr>
        <w:t>領域輔導團全縣</w:t>
      </w:r>
      <w:r w:rsidRPr="00D20303">
        <w:rPr>
          <w:rFonts w:ascii="微軟正黑體" w:eastAsia="微軟正黑體" w:hAnsi="微軟正黑體"/>
          <w:b/>
          <w:color w:val="000000" w:themeColor="text1"/>
          <w:sz w:val="40"/>
          <w:lang w:eastAsia="zh-TW"/>
        </w:rPr>
        <w:t>教師增能研習計畫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一、研習主題</w:t>
      </w:r>
    </w:p>
    <w:p w:rsidR="002E7614" w:rsidRPr="00964C98" w:rsidRDefault="00994810" w:rsidP="00964C98">
      <w:pPr>
        <w:spacing w:beforeLines="50" w:before="120" w:after="0" w:line="400" w:lineRule="exact"/>
        <w:ind w:firstLineChars="236" w:firstLine="566"/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</w:pPr>
      <w:r w:rsidRPr="00964C98"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  <w:t>走入山水，探究學習——以鯉魚潭自然場域實踐PBL與探究式教學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二、辦理單位</w:t>
      </w:r>
    </w:p>
    <w:p w:rsidR="002E7614" w:rsidRPr="00964C98" w:rsidRDefault="00994810" w:rsidP="00964C98">
      <w:pPr>
        <w:spacing w:beforeLines="50" w:before="120" w:after="0" w:line="400" w:lineRule="exact"/>
        <w:ind w:firstLineChars="236" w:firstLine="566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主辦單位</w:t>
      </w:r>
      <w:r w:rsidR="00964C98"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：花蓮縣自然領域輔導團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三、研習時間與地點</w:t>
      </w:r>
    </w:p>
    <w:p w:rsidR="002E7614" w:rsidRPr="00964C98" w:rsidRDefault="00994810" w:rsidP="00964C98">
      <w:pPr>
        <w:spacing w:beforeLines="50" w:before="120" w:after="0" w:line="400" w:lineRule="exact"/>
        <w:ind w:firstLineChars="236" w:firstLine="566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時間：2025年</w:t>
      </w:r>
      <w:r w:rsidR="00BF0EDC" w:rsidRPr="00964C98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6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月</w:t>
      </w:r>
      <w:r w:rsidR="00BF0EDC" w:rsidRPr="00964C98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6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日（星期</w:t>
      </w:r>
      <w:r w:rsidR="00BF0EDC" w:rsidRPr="00964C98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五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）0</w:t>
      </w:r>
      <w:r w:rsidR="000B2B45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9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:</w:t>
      </w:r>
      <w:r w:rsidR="00BF0EDC" w:rsidRPr="00964C98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0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0－1</w:t>
      </w:r>
      <w:r w:rsidR="00EA5DA9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5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:</w:t>
      </w:r>
      <w:r w:rsidR="00BF0EDC" w:rsidRPr="00964C98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0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0</w:t>
      </w:r>
    </w:p>
    <w:p w:rsidR="002E7614" w:rsidRPr="00964C98" w:rsidRDefault="00994810" w:rsidP="00964C98">
      <w:pPr>
        <w:spacing w:beforeLines="50" w:before="120" w:after="0" w:line="400" w:lineRule="exact"/>
        <w:ind w:firstLineChars="236" w:firstLine="566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地點：鯉魚潭環潭步道及鯉魚山登山步道（集合地點：鯉魚潭遊客中心）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四、研習對象</w:t>
      </w:r>
    </w:p>
    <w:p w:rsidR="002E7614" w:rsidRPr="00964C98" w:rsidRDefault="00994810" w:rsidP="00964C98">
      <w:pPr>
        <w:spacing w:beforeLines="50" w:before="120" w:after="0" w:line="400" w:lineRule="exact"/>
        <w:ind w:firstLineChars="236" w:firstLine="566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花蓮縣各國小自然科任教師或對戶外探究有興趣之教師。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五、研習目標</w:t>
      </w:r>
    </w:p>
    <w:p w:rsidR="002E7614" w:rsidRPr="00964C98" w:rsidRDefault="00994810" w:rsidP="00364E6D">
      <w:pPr>
        <w:pStyle w:val="a0"/>
        <w:numPr>
          <w:ilvl w:val="0"/>
          <w:numId w:val="10"/>
        </w:numPr>
        <w:spacing w:beforeLines="50" w:before="120" w:after="0" w:line="400" w:lineRule="exact"/>
        <w:ind w:hanging="54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透過實地踏查</w:t>
      </w:r>
      <w:r w:rsidR="000B2B45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、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導覽解說</w:t>
      </w:r>
      <w:r w:rsidR="000B2B45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及手作體驗</w:t>
      </w: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，引導教師體驗自然場域中的教學資源。</w:t>
      </w:r>
    </w:p>
    <w:p w:rsidR="002E7614" w:rsidRPr="00964C98" w:rsidRDefault="00994810" w:rsidP="00364E6D">
      <w:pPr>
        <w:pStyle w:val="a0"/>
        <w:numPr>
          <w:ilvl w:val="0"/>
          <w:numId w:val="10"/>
        </w:numPr>
        <w:spacing w:beforeLines="50" w:before="120" w:after="0" w:line="400" w:lineRule="exact"/>
        <w:ind w:hanging="54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實踐探究式教學與PBL問題導向學習策略於戶外教學中的運用。</w:t>
      </w:r>
    </w:p>
    <w:p w:rsidR="002E7614" w:rsidRPr="00964C98" w:rsidRDefault="00994810" w:rsidP="00364E6D">
      <w:pPr>
        <w:pStyle w:val="a0"/>
        <w:numPr>
          <w:ilvl w:val="0"/>
          <w:numId w:val="10"/>
        </w:numPr>
        <w:spacing w:beforeLines="50" w:before="120" w:after="0" w:line="400" w:lineRule="exact"/>
        <w:ind w:hanging="54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培養教師設計結合場域的自然探究課程能力。</w:t>
      </w:r>
    </w:p>
    <w:p w:rsidR="000B2B45" w:rsidRPr="000B2B45" w:rsidRDefault="00994810" w:rsidP="000B2B45">
      <w:pPr>
        <w:pStyle w:val="a0"/>
        <w:numPr>
          <w:ilvl w:val="0"/>
          <w:numId w:val="10"/>
        </w:numPr>
        <w:spacing w:beforeLines="50" w:before="120" w:after="0" w:line="400" w:lineRule="exact"/>
        <w:ind w:hanging="54"/>
        <w:rPr>
          <w:rFonts w:ascii="微軟正黑體" w:eastAsia="微軟正黑體" w:hAnsi="微軟正黑體"/>
          <w:color w:val="000000" w:themeColor="text1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鼓勵教師將所學應用於學生小論文或科展主題之發想與指導。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六、研習</w:t>
      </w:r>
      <w:r w:rsidR="00964C98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>議程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4481"/>
        <w:gridCol w:w="1701"/>
        <w:gridCol w:w="2175"/>
      </w:tblGrid>
      <w:tr w:rsidR="00D33587" w:rsidRPr="00D20303" w:rsidTr="00EA5DA9">
        <w:trPr>
          <w:trHeight w:val="469"/>
          <w:jc w:val="center"/>
        </w:trPr>
        <w:tc>
          <w:tcPr>
            <w:tcW w:w="1615" w:type="dxa"/>
            <w:shd w:val="clear" w:color="auto" w:fill="FDE9D9" w:themeFill="accent6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時間</w:t>
            </w:r>
          </w:p>
        </w:tc>
        <w:tc>
          <w:tcPr>
            <w:tcW w:w="4481" w:type="dxa"/>
            <w:shd w:val="clear" w:color="auto" w:fill="FDE9D9" w:themeFill="accent6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活動內容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主持/講師</w:t>
            </w:r>
          </w:p>
        </w:tc>
        <w:tc>
          <w:tcPr>
            <w:tcW w:w="2175" w:type="dxa"/>
            <w:shd w:val="clear" w:color="auto" w:fill="FDE9D9" w:themeFill="accent6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地點</w:t>
            </w:r>
          </w:p>
        </w:tc>
      </w:tr>
      <w:tr w:rsidR="00BF0EDC" w:rsidRPr="00D20303" w:rsidTr="00EA5DA9">
        <w:trPr>
          <w:trHeight w:val="425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</w:t>
            </w:r>
            <w:r w:rsidR="000B2B45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9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:</w:t>
            </w:r>
            <w:r w:rsidR="00BF0EDC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0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0-0</w:t>
            </w:r>
            <w:r w:rsidR="000B2B45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9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:</w:t>
            </w:r>
            <w:r w:rsidR="00BF0EDC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2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4481" w:type="dxa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報到與研習說明</w:t>
            </w:r>
          </w:p>
        </w:tc>
        <w:tc>
          <w:tcPr>
            <w:tcW w:w="1701" w:type="dxa"/>
            <w:vAlign w:val="center"/>
          </w:tcPr>
          <w:p w:rsidR="002E7614" w:rsidRPr="00D20303" w:rsidRDefault="002E7614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鯉魚潭遊客中心</w:t>
            </w:r>
          </w:p>
        </w:tc>
      </w:tr>
      <w:tr w:rsidR="00D20303" w:rsidRPr="00D20303" w:rsidTr="00EA5DA9">
        <w:trPr>
          <w:trHeight w:val="832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</w:t>
            </w:r>
            <w:r w:rsidR="000B2B45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9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:</w:t>
            </w:r>
            <w:r w:rsidR="00BF0EDC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2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0-</w:t>
            </w:r>
            <w:r w:rsidR="00BF0EDC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10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:</w:t>
            </w:r>
            <w:r w:rsid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2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4481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鯉魚潭自然生態導覽與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SDG</w:t>
            </w:r>
            <w:r w:rsidR="00D20303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s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探究任務導入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E7614" w:rsidRPr="00D20303" w:rsidRDefault="00BF0EDC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曾啟銘校長</w:t>
            </w:r>
            <w:r w:rsidR="00EA5DA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/</w:t>
            </w:r>
          </w:p>
          <w:p w:rsidR="00BF0EDC" w:rsidRPr="00D20303" w:rsidRDefault="006655DB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陳</w:t>
            </w:r>
            <w:r w:rsidR="00BF0EDC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文正主任</w:t>
            </w:r>
          </w:p>
        </w:tc>
        <w:tc>
          <w:tcPr>
            <w:tcW w:w="2175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環潭步道</w:t>
            </w:r>
          </w:p>
        </w:tc>
      </w:tr>
      <w:tr w:rsidR="00BF0EDC" w:rsidRPr="00D20303" w:rsidTr="00EA5DA9">
        <w:trPr>
          <w:trHeight w:val="1259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2E7614" w:rsidRPr="00D20303" w:rsidRDefault="00BF0EDC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10</w:t>
            </w:r>
            <w:r w:rsidR="00994810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:</w:t>
            </w:r>
            <w:r w:rsid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2</w:t>
            </w:r>
            <w:r w:rsidR="00994810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0-11:</w:t>
            </w:r>
            <w:r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2</w:t>
            </w:r>
            <w:r w:rsidR="00994810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4481" w:type="dxa"/>
            <w:vAlign w:val="center"/>
          </w:tcPr>
          <w:p w:rsidR="002E7614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分組進行</w:t>
            </w:r>
            <w:r w:rsidR="00D20303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「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鳥</w:t>
            </w:r>
            <w:r w:rsidR="00D20303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與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棲地</w:t>
            </w:r>
            <w:r w:rsidR="00D20303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」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、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「水與環境」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、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「昆蟲與植物」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、</w:t>
            </w:r>
            <w:r w:rsidR="00D20303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「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人文史蹟</w:t>
            </w:r>
            <w:r w:rsidR="00D20303"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」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等探究任務</w:t>
            </w:r>
          </w:p>
          <w:p w:rsidR="00D20303" w:rsidRPr="00D20303" w:rsidRDefault="00D20303" w:rsidP="00D20303">
            <w:pPr>
              <w:spacing w:after="0" w:line="360" w:lineRule="exact"/>
              <w:rPr>
                <w:rFonts w:ascii="微軟正黑體" w:eastAsia="微軟正黑體" w:hAnsi="微軟正黑體"/>
                <w:color w:val="000000" w:themeColor="text1"/>
                <w:sz w:val="24"/>
                <w:lang w:eastAsia="zh-TW"/>
              </w:rPr>
            </w:pPr>
            <w:r w:rsidRPr="00D20303">
              <w:rPr>
                <w:rFonts w:ascii="微軟正黑體" w:eastAsia="微軟正黑體" w:hAnsi="微軟正黑體" w:hint="eastAsia"/>
                <w:color w:val="000000" w:themeColor="text1"/>
                <w:sz w:val="24"/>
                <w:lang w:eastAsia="zh-TW"/>
              </w:rPr>
              <w:t>(視參與教師人數)</w:t>
            </w:r>
          </w:p>
        </w:tc>
        <w:tc>
          <w:tcPr>
            <w:tcW w:w="1701" w:type="dxa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輔導團講師群</w:t>
            </w:r>
          </w:p>
        </w:tc>
        <w:tc>
          <w:tcPr>
            <w:tcW w:w="2175" w:type="dxa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鯉魚潭&amp;鯉魚山步道</w:t>
            </w:r>
          </w:p>
        </w:tc>
      </w:tr>
      <w:tr w:rsidR="00D20303" w:rsidRPr="00D20303" w:rsidTr="00EA5DA9">
        <w:trPr>
          <w:trHeight w:val="1184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11:</w:t>
            </w:r>
            <w:r w:rsidR="00BF0EDC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2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0-1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1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: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4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4481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分組成果交流：從任務到教案設計與PBL連結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D20303" w:rsidRPr="00D20303" w:rsidRDefault="00D20303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曾啟銘校長</w:t>
            </w:r>
            <w:r w:rsidR="00EA5DA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/</w:t>
            </w:r>
          </w:p>
          <w:p w:rsidR="002E7614" w:rsidRPr="00D20303" w:rsidRDefault="006655DB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陳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文正主任</w:t>
            </w:r>
          </w:p>
        </w:tc>
        <w:tc>
          <w:tcPr>
            <w:tcW w:w="2175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鯉魚潭遊客中心</w:t>
            </w:r>
          </w:p>
        </w:tc>
      </w:tr>
      <w:tr w:rsidR="00BF0EDC" w:rsidRPr="00D20303" w:rsidTr="00EA5DA9">
        <w:trPr>
          <w:trHeight w:val="630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1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1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: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4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0-12:</w:t>
            </w:r>
            <w:r w:rsidR="00D20303" w:rsidRPr="00D20303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0</w:t>
            </w: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4481" w:type="dxa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回饋與討論：延伸應用至網路小論文與科展指導策略分享</w:t>
            </w:r>
          </w:p>
        </w:tc>
        <w:tc>
          <w:tcPr>
            <w:tcW w:w="1701" w:type="dxa"/>
            <w:vAlign w:val="center"/>
          </w:tcPr>
          <w:p w:rsidR="002E7614" w:rsidRPr="00D20303" w:rsidRDefault="00D20303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輔導團講師群</w:t>
            </w:r>
          </w:p>
        </w:tc>
        <w:tc>
          <w:tcPr>
            <w:tcW w:w="2175" w:type="dxa"/>
            <w:vAlign w:val="center"/>
          </w:tcPr>
          <w:p w:rsidR="002E7614" w:rsidRPr="00D20303" w:rsidRDefault="00994810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 w:rsidRPr="00D20303"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  <w:t>鯉魚潭遊客中心</w:t>
            </w:r>
          </w:p>
        </w:tc>
      </w:tr>
      <w:tr w:rsidR="000B2B45" w:rsidRPr="00D20303" w:rsidTr="00EA5DA9">
        <w:trPr>
          <w:trHeight w:val="260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0B2B45" w:rsidRPr="00D20303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12:00-13:00</w:t>
            </w:r>
          </w:p>
        </w:tc>
        <w:tc>
          <w:tcPr>
            <w:tcW w:w="4481" w:type="dxa"/>
            <w:vAlign w:val="center"/>
          </w:tcPr>
          <w:p w:rsidR="000B2B45" w:rsidRPr="00D20303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午餐時間</w:t>
            </w:r>
          </w:p>
        </w:tc>
        <w:tc>
          <w:tcPr>
            <w:tcW w:w="1701" w:type="dxa"/>
            <w:vAlign w:val="center"/>
          </w:tcPr>
          <w:p w:rsidR="000B2B45" w:rsidRPr="00D20303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B2B45" w:rsidRPr="00D20303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潭南樹屋餐廳</w:t>
            </w:r>
          </w:p>
        </w:tc>
      </w:tr>
      <w:tr w:rsidR="000B2B45" w:rsidRPr="00D20303" w:rsidTr="00EA5DA9">
        <w:trPr>
          <w:trHeight w:val="240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0B2B45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lastRenderedPageBreak/>
              <w:t>13:00-14:00</w:t>
            </w:r>
          </w:p>
        </w:tc>
        <w:tc>
          <w:tcPr>
            <w:tcW w:w="4481" w:type="dxa"/>
            <w:vAlign w:val="center"/>
          </w:tcPr>
          <w:p w:rsidR="000B2B45" w:rsidRDefault="00EA5DA9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當地自然文</w:t>
            </w:r>
            <w:r w:rsidR="000B2B45" w:rsidRPr="000B2B45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化與植物應用</w:t>
            </w:r>
            <w:r w:rsidR="000B2B45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(構樹)</w:t>
            </w:r>
          </w:p>
        </w:tc>
        <w:tc>
          <w:tcPr>
            <w:tcW w:w="1701" w:type="dxa"/>
            <w:vAlign w:val="center"/>
          </w:tcPr>
          <w:p w:rsidR="000B2B45" w:rsidRPr="000B2B45" w:rsidRDefault="000B2B45" w:rsidP="000B2B45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0B2B45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曾啟銘校長</w:t>
            </w:r>
            <w:r w:rsidR="00EA5DA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/</w:t>
            </w:r>
          </w:p>
          <w:p w:rsidR="000B2B45" w:rsidRPr="00D20303" w:rsidRDefault="000B2B45" w:rsidP="000B2B45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0B2B45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陳文正主任</w:t>
            </w:r>
          </w:p>
        </w:tc>
        <w:tc>
          <w:tcPr>
            <w:tcW w:w="2175" w:type="dxa"/>
            <w:vAlign w:val="center"/>
          </w:tcPr>
          <w:p w:rsidR="000B2B45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</w:p>
        </w:tc>
      </w:tr>
      <w:tr w:rsidR="000B2B45" w:rsidRPr="00D20303" w:rsidTr="00EA5DA9">
        <w:trPr>
          <w:trHeight w:val="550"/>
          <w:jc w:val="center"/>
        </w:trPr>
        <w:tc>
          <w:tcPr>
            <w:tcW w:w="1615" w:type="dxa"/>
            <w:shd w:val="clear" w:color="auto" w:fill="DAEEF3" w:themeFill="accent5" w:themeFillTint="33"/>
            <w:vAlign w:val="center"/>
          </w:tcPr>
          <w:p w:rsidR="000B2B45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14:00-15:00</w:t>
            </w:r>
          </w:p>
        </w:tc>
        <w:tc>
          <w:tcPr>
            <w:tcW w:w="4481" w:type="dxa"/>
            <w:vAlign w:val="center"/>
          </w:tcPr>
          <w:p w:rsidR="000B2B45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手作d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  <w:t>iy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體驗</w:t>
            </w:r>
          </w:p>
        </w:tc>
        <w:tc>
          <w:tcPr>
            <w:tcW w:w="1701" w:type="dxa"/>
            <w:vAlign w:val="center"/>
          </w:tcPr>
          <w:p w:rsidR="000B2B45" w:rsidRPr="00D20303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B2B45" w:rsidRDefault="000B2B45" w:rsidP="00D20303">
            <w:pPr>
              <w:spacing w:after="0"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潭南樹屋戶外教室</w:t>
            </w:r>
          </w:p>
        </w:tc>
      </w:tr>
    </w:tbl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七、研習特色</w:t>
      </w:r>
    </w:p>
    <w:p w:rsidR="002E7614" w:rsidRPr="00BF0EDC" w:rsidRDefault="00994810" w:rsidP="00BF0EDC">
      <w:pPr>
        <w:pStyle w:val="a0"/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Segoe UI Emoji" w:eastAsia="微軟正黑體" w:hAnsi="Segoe UI Emoji" w:cs="Segoe UI Emoji"/>
          <w:color w:val="000000" w:themeColor="text1"/>
          <w:lang w:eastAsia="zh-TW"/>
        </w:rPr>
        <w:t>✅</w:t>
      </w: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 xml:space="preserve"> 結合場域：利用鯉魚潭與鯉魚山自然資源，引發教師對戶外教學的興趣與靈感。</w:t>
      </w:r>
    </w:p>
    <w:p w:rsidR="002E7614" w:rsidRPr="00BF0EDC" w:rsidRDefault="00994810" w:rsidP="00BF0EDC">
      <w:pPr>
        <w:pStyle w:val="a0"/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Segoe UI Emoji" w:eastAsia="微軟正黑體" w:hAnsi="Segoe UI Emoji" w:cs="Segoe UI Emoji"/>
          <w:color w:val="000000" w:themeColor="text1"/>
          <w:lang w:eastAsia="zh-TW"/>
        </w:rPr>
        <w:t>✅</w:t>
      </w: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 xml:space="preserve"> 實作導向：實地觀察與操作任務設計，強化探究能力與教學應用。</w:t>
      </w:r>
    </w:p>
    <w:p w:rsidR="002E7614" w:rsidRPr="00BF0EDC" w:rsidRDefault="00994810" w:rsidP="00BF0EDC">
      <w:pPr>
        <w:pStyle w:val="a0"/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Segoe UI Emoji" w:eastAsia="微軟正黑體" w:hAnsi="Segoe UI Emoji" w:cs="Segoe UI Emoji"/>
          <w:color w:val="000000" w:themeColor="text1"/>
          <w:lang w:eastAsia="zh-TW"/>
        </w:rPr>
        <w:t>✅</w:t>
      </w: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 xml:space="preserve"> 跨領域連結：探究式教學結合PBL設計，強化教師課程整合與問題解決導向教學力。</w:t>
      </w:r>
    </w:p>
    <w:p w:rsidR="002E7614" w:rsidRPr="00BF0EDC" w:rsidRDefault="00994810" w:rsidP="00BF0EDC">
      <w:pPr>
        <w:pStyle w:val="a0"/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Segoe UI Emoji" w:eastAsia="微軟正黑體" w:hAnsi="Segoe UI Emoji" w:cs="Segoe UI Emoji"/>
          <w:color w:val="000000" w:themeColor="text1"/>
          <w:lang w:eastAsia="zh-TW"/>
        </w:rPr>
        <w:t>✅</w:t>
      </w: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 xml:space="preserve"> 延伸應用：從任務經驗延伸至網路小論文、科展主題的發想與後續教學設計。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八、研習成果預期</w:t>
      </w:r>
    </w:p>
    <w:p w:rsidR="002E7614" w:rsidRPr="00BF0EDC" w:rsidRDefault="00994810" w:rsidP="00BF0EDC">
      <w:pPr>
        <w:pStyle w:val="a0"/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>教師完成一份以場域為基礎的PBL或探究式課程雛型。</w:t>
      </w:r>
    </w:p>
    <w:p w:rsidR="002E7614" w:rsidRPr="00BF0EDC" w:rsidRDefault="00994810" w:rsidP="00BF0EDC">
      <w:pPr>
        <w:pStyle w:val="a0"/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>教師具備引導學生進行自然探究與發展研究題目的初步能力。</w:t>
      </w:r>
    </w:p>
    <w:p w:rsidR="002E7614" w:rsidRPr="00BF0EDC" w:rsidRDefault="00994810" w:rsidP="00BF0EDC">
      <w:pPr>
        <w:pStyle w:val="a0"/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>教師能回到學校後推動學生參與小論文或科展活動。</w:t>
      </w:r>
    </w:p>
    <w:p w:rsidR="002E7614" w:rsidRPr="00964C98" w:rsidRDefault="00994810" w:rsidP="00BF0EDC">
      <w:pPr>
        <w:pStyle w:val="1"/>
        <w:spacing w:beforeLines="50" w:before="120" w:line="400" w:lineRule="exac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964C98">
        <w:rPr>
          <w:rFonts w:ascii="微軟正黑體" w:eastAsia="微軟正黑體" w:hAnsi="微軟正黑體"/>
          <w:color w:val="000000" w:themeColor="text1"/>
          <w:sz w:val="24"/>
          <w:lang w:eastAsia="zh-TW"/>
        </w:rPr>
        <w:t>九、報名方式與注意事項</w:t>
      </w:r>
    </w:p>
    <w:p w:rsidR="002E7614" w:rsidRPr="00BF0EDC" w:rsidRDefault="00994810" w:rsidP="00BF0EDC">
      <w:pPr>
        <w:spacing w:beforeLines="50" w:before="120" w:after="0" w:line="400" w:lineRule="exact"/>
        <w:rPr>
          <w:rFonts w:ascii="微軟正黑體" w:eastAsia="微軟正黑體" w:hAnsi="微軟正黑體" w:hint="eastAsia"/>
          <w:color w:val="000000" w:themeColor="text1"/>
          <w:lang w:eastAsia="zh-TW"/>
        </w:rPr>
      </w:pP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>報名方式：請至全國教師在職進修網報名</w:t>
      </w:r>
      <w:bookmarkStart w:id="0" w:name="_GoBack"/>
      <w:bookmarkEnd w:id="0"/>
    </w:p>
    <w:p w:rsidR="002E7614" w:rsidRPr="00BF0EDC" w:rsidRDefault="00994810" w:rsidP="00BF0EDC">
      <w:pPr>
        <w:spacing w:beforeLines="50" w:before="120" w:after="0" w:line="400" w:lineRule="exact"/>
        <w:rPr>
          <w:rFonts w:ascii="微軟正黑體" w:eastAsia="微軟正黑體" w:hAnsi="微軟正黑體"/>
          <w:color w:val="000000" w:themeColor="text1"/>
          <w:lang w:eastAsia="zh-TW"/>
        </w:rPr>
      </w:pPr>
      <w:r w:rsidRPr="00BF0EDC">
        <w:rPr>
          <w:rFonts w:ascii="微軟正黑體" w:eastAsia="微軟正黑體" w:hAnsi="微軟正黑體"/>
          <w:color w:val="000000" w:themeColor="text1"/>
          <w:lang w:eastAsia="zh-TW"/>
        </w:rPr>
        <w:t>注意事項：請著輕便服裝、攜帶水壺、防曬、防蚊用品，並自備筆記工具。</w:t>
      </w:r>
    </w:p>
    <w:sectPr w:rsidR="002E7614" w:rsidRPr="00BF0EDC" w:rsidSect="00BF0ED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ADB" w:rsidRDefault="00636ADB" w:rsidP="000B2B45">
      <w:pPr>
        <w:spacing w:after="0" w:line="240" w:lineRule="auto"/>
      </w:pPr>
      <w:r>
        <w:separator/>
      </w:r>
    </w:p>
  </w:endnote>
  <w:endnote w:type="continuationSeparator" w:id="0">
    <w:p w:rsidR="00636ADB" w:rsidRDefault="00636ADB" w:rsidP="000B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ADB" w:rsidRDefault="00636ADB" w:rsidP="000B2B45">
      <w:pPr>
        <w:spacing w:after="0" w:line="240" w:lineRule="auto"/>
      </w:pPr>
      <w:r>
        <w:separator/>
      </w:r>
    </w:p>
  </w:footnote>
  <w:footnote w:type="continuationSeparator" w:id="0">
    <w:p w:rsidR="00636ADB" w:rsidRDefault="00636ADB" w:rsidP="000B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FB7A13"/>
    <w:multiLevelType w:val="hybridMultilevel"/>
    <w:tmpl w:val="D9D8A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AD1"/>
    <w:rsid w:val="000B2B45"/>
    <w:rsid w:val="0015074B"/>
    <w:rsid w:val="0029639D"/>
    <w:rsid w:val="002E7614"/>
    <w:rsid w:val="00326F90"/>
    <w:rsid w:val="00364E6D"/>
    <w:rsid w:val="00392CC7"/>
    <w:rsid w:val="005D2718"/>
    <w:rsid w:val="00636ADB"/>
    <w:rsid w:val="006655DB"/>
    <w:rsid w:val="00964C98"/>
    <w:rsid w:val="00994810"/>
    <w:rsid w:val="00AA1D8D"/>
    <w:rsid w:val="00AC6C2C"/>
    <w:rsid w:val="00B47730"/>
    <w:rsid w:val="00BF0EDC"/>
    <w:rsid w:val="00CB0664"/>
    <w:rsid w:val="00D20303"/>
    <w:rsid w:val="00D33587"/>
    <w:rsid w:val="00DD6D8E"/>
    <w:rsid w:val="00EA5D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8D886"/>
  <w14:defaultImageDpi w14:val="300"/>
  <w15:docId w15:val="{34D57445-65B9-4ACE-807D-3FF9486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F3D547-E8FB-4843-AF31-3833BDCF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2025-05-16T06:39:00Z</dcterms:created>
  <dcterms:modified xsi:type="dcterms:W3CDTF">2025-05-16T07:18:00Z</dcterms:modified>
  <cp:category/>
</cp:coreProperties>
</file>