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513E8C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4E0D2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台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AD77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AD77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AD778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="00890D4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513E8C">
              <w:rPr>
                <w:rFonts w:ascii="標楷體" w:eastAsia="標楷體" w:hAnsi="標楷體" w:hint="eastAsia"/>
                <w:sz w:val="28"/>
                <w:szCs w:val="28"/>
              </w:rPr>
              <w:t>或專業級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4E0D2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(台語)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4E0D2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(台語)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4E0D2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(台語)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4E0D2F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</w:p>
    <w:p w:rsidR="00DA63F4" w:rsidRPr="00F335B5" w:rsidRDefault="00586D99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513E8C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65366" w:rsidRPr="00165366">
        <w:rPr>
          <w:rFonts w:ascii="標楷體" w:eastAsia="標楷體" w:hAnsi="標楷體" w:cs="標楷體" w:hint="eastAsia"/>
          <w:color w:val="000000"/>
          <w:sz w:val="32"/>
          <w:szCs w:val="32"/>
        </w:rPr>
        <w:t>閩南語</w:t>
      </w:r>
      <w:r w:rsidR="004E0D2F">
        <w:rPr>
          <w:rFonts w:ascii="標楷體" w:eastAsia="標楷體" w:hAnsi="標楷體" w:cs="標楷體" w:hint="eastAsia"/>
          <w:color w:val="000000"/>
          <w:sz w:val="28"/>
          <w:szCs w:val="28"/>
        </w:rPr>
        <w:t>(台語)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653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閩南語</w:t>
            </w:r>
            <w:r w:rsidR="004E0D2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(台語)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AD778F" w:rsidRDefault="00AD778F" w:rsidP="00AD778F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※本清冊應製1份送教育處承辦人另word檔mail到承辦人信箱。</w:t>
      </w:r>
    </w:p>
    <w:p w:rsidR="00E679D2" w:rsidRPr="00AD778F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AD778F" w:rsidSect="00AD778F">
      <w:footerReference w:type="default" r:id="rId7"/>
      <w:pgSz w:w="11906" w:h="16838"/>
      <w:pgMar w:top="907" w:right="707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EC1" w:rsidRDefault="00377EC1">
      <w:r>
        <w:separator/>
      </w:r>
    </w:p>
  </w:endnote>
  <w:endnote w:type="continuationSeparator" w:id="0">
    <w:p w:rsidR="00377EC1" w:rsidRDefault="0037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EC1" w:rsidRDefault="00377EC1">
      <w:r>
        <w:separator/>
      </w:r>
    </w:p>
  </w:footnote>
  <w:footnote w:type="continuationSeparator" w:id="0">
    <w:p w:rsidR="00377EC1" w:rsidRDefault="0037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165366"/>
    <w:rsid w:val="00232918"/>
    <w:rsid w:val="002A295F"/>
    <w:rsid w:val="00377EC1"/>
    <w:rsid w:val="00383D3E"/>
    <w:rsid w:val="00454631"/>
    <w:rsid w:val="004E0D2F"/>
    <w:rsid w:val="004E2C7E"/>
    <w:rsid w:val="004F2D1A"/>
    <w:rsid w:val="00513E8C"/>
    <w:rsid w:val="005355E4"/>
    <w:rsid w:val="00586D99"/>
    <w:rsid w:val="005C494E"/>
    <w:rsid w:val="005F796A"/>
    <w:rsid w:val="00616F3D"/>
    <w:rsid w:val="00684C80"/>
    <w:rsid w:val="006B201E"/>
    <w:rsid w:val="006E3CA3"/>
    <w:rsid w:val="00751443"/>
    <w:rsid w:val="00772AC5"/>
    <w:rsid w:val="00824E36"/>
    <w:rsid w:val="00836FCF"/>
    <w:rsid w:val="008750B6"/>
    <w:rsid w:val="00890D4C"/>
    <w:rsid w:val="00A42AAA"/>
    <w:rsid w:val="00A50E30"/>
    <w:rsid w:val="00AA34C3"/>
    <w:rsid w:val="00AD778F"/>
    <w:rsid w:val="00B1039E"/>
    <w:rsid w:val="00B31932"/>
    <w:rsid w:val="00B3767B"/>
    <w:rsid w:val="00B37BA1"/>
    <w:rsid w:val="00B57573"/>
    <w:rsid w:val="00B60FA5"/>
    <w:rsid w:val="00B85B32"/>
    <w:rsid w:val="00BA371A"/>
    <w:rsid w:val="00C73B89"/>
    <w:rsid w:val="00C95679"/>
    <w:rsid w:val="00CE0606"/>
    <w:rsid w:val="00D109D0"/>
    <w:rsid w:val="00DA620E"/>
    <w:rsid w:val="00DA63F4"/>
    <w:rsid w:val="00DC0E66"/>
    <w:rsid w:val="00E61077"/>
    <w:rsid w:val="00E679D2"/>
    <w:rsid w:val="00E75038"/>
    <w:rsid w:val="00E77287"/>
    <w:rsid w:val="00EE2888"/>
    <w:rsid w:val="00EF2449"/>
    <w:rsid w:val="00EF37B3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EBF05"/>
  <w15:chartTrackingRefBased/>
  <w15:docId w15:val="{06D4B988-B59E-42F6-B1D0-0694FBE7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2025-06-16T02:50:00Z</dcterms:created>
  <dcterms:modified xsi:type="dcterms:W3CDTF">2025-06-16T02:50:00Z</dcterms:modified>
</cp:coreProperties>
</file>