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Default="00F335A0" w:rsidP="00F335A0">
      <w:pPr>
        <w:jc w:val="center"/>
        <w:rPr>
          <w:rFonts w:ascii="標楷體" w:eastAsia="標楷體" w:hAnsi="標楷體" w:cs="DFMing-UB-HK-BF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102</w:t>
      </w:r>
      <w:proofErr w:type="gramStart"/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學年度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proofErr w:type="gramEnd"/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 w:rsidR="00E27162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67FF8" w:rsidRPr="00F67FF8" w:rsidRDefault="00F67FF8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花蓮縣102學年度</w:t>
      </w:r>
      <w:r w:rsidR="00D129AB" w:rsidRPr="00D129AB">
        <w:rPr>
          <w:rFonts w:ascii="標楷體" w:eastAsia="標楷體" w:hAnsi="標楷體" w:hint="eastAsia"/>
          <w:sz w:val="32"/>
          <w:szCs w:val="32"/>
          <w:u w:val="thick"/>
        </w:rPr>
        <w:t>慈濟中學</w:t>
      </w:r>
      <w:r w:rsidRPr="00F67FF8">
        <w:rPr>
          <w:rFonts w:ascii="標楷體" w:eastAsia="標楷體" w:hAnsi="標楷體" w:hint="eastAsia"/>
          <w:sz w:val="32"/>
          <w:szCs w:val="32"/>
        </w:rPr>
        <w:t>志願選填</w:t>
      </w:r>
      <w:r w:rsidR="007F4FEE"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837C73" w:rsidRPr="00D649EC" w:rsidRDefault="00837C73" w:rsidP="00837C73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Style w:val="ab"/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</w:t>
            </w:r>
            <w:proofErr w:type="gramEnd"/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407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171</w:t>
            </w:r>
          </w:p>
        </w:tc>
        <w:tc>
          <w:tcPr>
            <w:tcW w:w="511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CD76EE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18228E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18228E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183</w:t>
            </w:r>
          </w:p>
        </w:tc>
        <w:tc>
          <w:tcPr>
            <w:tcW w:w="511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0" w:type="pct"/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CD76EE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183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CD76EE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537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25EA2" w:rsidRPr="009E35EE" w:rsidRDefault="00CB1197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511" w:type="pct"/>
            <w:vMerge/>
            <w:tcBorders>
              <w:lef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7FF8" w:rsidRPr="008F46B5" w:rsidRDefault="008F46B5" w:rsidP="008F46B5">
      <w:pPr>
        <w:rPr>
          <w:rFonts w:ascii="標楷體" w:eastAsia="標楷體" w:hAnsi="標楷體"/>
        </w:rPr>
      </w:pPr>
      <w:r w:rsidRPr="00F67FF8">
        <w:rPr>
          <w:rFonts w:ascii="標楷體" w:eastAsia="標楷體" w:hAnsi="標楷體" w:hint="eastAsia"/>
          <w:sz w:val="20"/>
          <w:szCs w:val="20"/>
        </w:rPr>
        <w:t>備註：未有編制或留職停薪中未有代理人員，請填「0」。</w:t>
      </w:r>
    </w:p>
    <w:p w:rsidR="006579FC" w:rsidRPr="00D649EC" w:rsidRDefault="006579FC" w:rsidP="00D649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 w:rsidR="00E27162"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9E35EE" w:rsidRPr="00F335A0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第1、2次志願選填試探結果資料分析</w:t>
      </w: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0"/>
        <w:gridCol w:w="840"/>
        <w:gridCol w:w="1568"/>
        <w:gridCol w:w="2411"/>
        <w:gridCol w:w="1277"/>
        <w:gridCol w:w="1274"/>
        <w:gridCol w:w="856"/>
        <w:gridCol w:w="890"/>
        <w:gridCol w:w="1237"/>
        <w:gridCol w:w="849"/>
        <w:gridCol w:w="902"/>
      </w:tblGrid>
      <w:tr w:rsidR="006579FC" w:rsidRPr="00D649EC" w:rsidTr="0018228E">
        <w:tc>
          <w:tcPr>
            <w:tcW w:w="1124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2次選填人次之分佈</w:t>
            </w:r>
          </w:p>
        </w:tc>
        <w:tc>
          <w:tcPr>
            <w:tcW w:w="3876" w:type="pct"/>
            <w:gridSpan w:val="10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由選填人次多至少排列(多</w:t>
            </w:r>
            <w:proofErr w:type="gramStart"/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────</w:t>
            </w:r>
            <w:proofErr w:type="gramEnd"/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→少)</w:t>
            </w:r>
          </w:p>
        </w:tc>
      </w:tr>
      <w:tr w:rsidR="0018228E" w:rsidRPr="006579FC" w:rsidTr="0018228E">
        <w:tc>
          <w:tcPr>
            <w:tcW w:w="1124" w:type="pct"/>
          </w:tcPr>
          <w:p w:rsidR="0018228E" w:rsidRPr="006579FC" w:rsidRDefault="0018228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第1次前10熱門科別</w:t>
            </w:r>
          </w:p>
        </w:tc>
        <w:tc>
          <w:tcPr>
            <w:tcW w:w="269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502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772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應用外語科(英文組)</w:t>
            </w:r>
          </w:p>
        </w:tc>
        <w:tc>
          <w:tcPr>
            <w:tcW w:w="409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408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274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285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電子科</w:t>
            </w:r>
          </w:p>
        </w:tc>
        <w:tc>
          <w:tcPr>
            <w:tcW w:w="396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272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288" w:type="pct"/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</w:tr>
      <w:tr w:rsidR="0018228E" w:rsidRPr="006579FC" w:rsidTr="0018228E">
        <w:tc>
          <w:tcPr>
            <w:tcW w:w="1124" w:type="pct"/>
            <w:tcBorders>
              <w:bottom w:val="double" w:sz="4" w:space="0" w:color="auto"/>
            </w:tcBorders>
          </w:tcPr>
          <w:p w:rsidR="0018228E" w:rsidRPr="006579FC" w:rsidRDefault="0018228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第1次選填人次</w:t>
            </w:r>
          </w:p>
        </w:tc>
        <w:tc>
          <w:tcPr>
            <w:tcW w:w="269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298</w:t>
            </w:r>
          </w:p>
        </w:tc>
        <w:tc>
          <w:tcPr>
            <w:tcW w:w="50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77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09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8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74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</w:tr>
      <w:tr w:rsidR="0018228E" w:rsidRPr="006579FC" w:rsidTr="0018228E">
        <w:tc>
          <w:tcPr>
            <w:tcW w:w="1124" w:type="pct"/>
            <w:tcBorders>
              <w:top w:val="double" w:sz="4" w:space="0" w:color="auto"/>
            </w:tcBorders>
          </w:tcPr>
          <w:p w:rsidR="0018228E" w:rsidRPr="006579FC" w:rsidRDefault="0018228E" w:rsidP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第2次前10熱門科別</w:t>
            </w:r>
          </w:p>
        </w:tc>
        <w:tc>
          <w:tcPr>
            <w:tcW w:w="269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502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772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應用外語科(英文組)</w:t>
            </w:r>
          </w:p>
        </w:tc>
        <w:tc>
          <w:tcPr>
            <w:tcW w:w="409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408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274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285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396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資訊科</w:t>
            </w:r>
          </w:p>
        </w:tc>
        <w:tc>
          <w:tcPr>
            <w:tcW w:w="272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電子科</w:t>
            </w:r>
          </w:p>
        </w:tc>
      </w:tr>
      <w:tr w:rsidR="0018228E" w:rsidRPr="006579FC" w:rsidTr="0018228E">
        <w:tc>
          <w:tcPr>
            <w:tcW w:w="1124" w:type="pct"/>
            <w:tcBorders>
              <w:bottom w:val="double" w:sz="4" w:space="0" w:color="auto"/>
            </w:tcBorders>
          </w:tcPr>
          <w:p w:rsidR="0018228E" w:rsidRPr="006579FC" w:rsidRDefault="0018228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第2次選填人次</w:t>
            </w:r>
          </w:p>
        </w:tc>
        <w:tc>
          <w:tcPr>
            <w:tcW w:w="269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348</w:t>
            </w:r>
          </w:p>
        </w:tc>
        <w:tc>
          <w:tcPr>
            <w:tcW w:w="50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77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09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08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274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396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bottom w:val="double" w:sz="4" w:space="0" w:color="auto"/>
            </w:tcBorders>
          </w:tcPr>
          <w:p w:rsidR="0018228E" w:rsidRPr="006579FC" w:rsidRDefault="0018228E" w:rsidP="0018228E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18228E" w:rsidRPr="006579FC" w:rsidTr="0018228E">
        <w:tc>
          <w:tcPr>
            <w:tcW w:w="1124" w:type="pct"/>
            <w:tcBorders>
              <w:top w:val="double" w:sz="4" w:space="0" w:color="auto"/>
            </w:tcBorders>
          </w:tcPr>
          <w:p w:rsidR="0018228E" w:rsidRPr="006579FC" w:rsidRDefault="0018228E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請試說明2次選填人次分佈情形之學生可能動機或想法，或校內相關輔導作為之影響。</w:t>
            </w:r>
          </w:p>
        </w:tc>
        <w:tc>
          <w:tcPr>
            <w:tcW w:w="3876" w:type="pct"/>
            <w:gridSpan w:val="10"/>
            <w:tcBorders>
              <w:top w:val="double" w:sz="4" w:space="0" w:color="auto"/>
            </w:tcBorders>
          </w:tcPr>
          <w:p w:rsidR="0018228E" w:rsidRPr="00BF669D" w:rsidRDefault="0018228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第1次：</w:t>
            </w:r>
            <w:r w:rsidR="004540AA">
              <w:rPr>
                <w:rFonts w:ascii="標楷體" w:eastAsia="標楷體" w:hAnsi="標楷體" w:hint="eastAsia"/>
                <w:sz w:val="20"/>
                <w:szCs w:val="20"/>
              </w:rPr>
              <w:t>部分</w:t>
            </w:r>
            <w:r w:rsidR="007E67E6">
              <w:rPr>
                <w:rFonts w:ascii="標楷體" w:eastAsia="標楷體" w:hAnsi="標楷體" w:hint="eastAsia"/>
                <w:sz w:val="20"/>
                <w:szCs w:val="20"/>
              </w:rPr>
              <w:t>學生對於自己的志願尚未明確，</w:t>
            </w:r>
            <w:r w:rsidR="004540AA">
              <w:rPr>
                <w:rFonts w:ascii="標楷體" w:eastAsia="標楷體" w:hAnsi="標楷體" w:hint="eastAsia"/>
                <w:sz w:val="20"/>
                <w:szCs w:val="20"/>
              </w:rPr>
              <w:t>對</w:t>
            </w:r>
            <w:r w:rsidR="007E67E6">
              <w:rPr>
                <w:rFonts w:ascii="標楷體" w:eastAsia="標楷體" w:hAnsi="標楷體" w:hint="eastAsia"/>
                <w:sz w:val="20"/>
                <w:szCs w:val="20"/>
              </w:rPr>
              <w:t>職</w:t>
            </w:r>
            <w:r w:rsidR="004540AA">
              <w:rPr>
                <w:rFonts w:ascii="標楷體" w:eastAsia="標楷體" w:hAnsi="標楷體" w:hint="eastAsia"/>
                <w:sz w:val="20"/>
                <w:szCs w:val="20"/>
              </w:rPr>
              <w:t>業</w:t>
            </w:r>
            <w:r w:rsidR="007E67E6">
              <w:rPr>
                <w:rFonts w:ascii="標楷體" w:eastAsia="標楷體" w:hAnsi="標楷體" w:hint="eastAsia"/>
                <w:sz w:val="20"/>
                <w:szCs w:val="20"/>
              </w:rPr>
              <w:t>類科也不熟悉</w:t>
            </w:r>
            <w:r w:rsidR="004540AA">
              <w:rPr>
                <w:rFonts w:ascii="標楷體" w:eastAsia="標楷體" w:hAnsi="標楷體" w:hint="eastAsia"/>
                <w:sz w:val="20"/>
                <w:szCs w:val="20"/>
              </w:rPr>
              <w:t>，大多都以字面上的解釋來解讀該職業類科</w:t>
            </w:r>
            <w:r w:rsidR="007E67E6">
              <w:rPr>
                <w:rFonts w:ascii="標楷體" w:eastAsia="標楷體" w:hAnsi="標楷體" w:hint="eastAsia"/>
                <w:sz w:val="20"/>
                <w:szCs w:val="20"/>
              </w:rPr>
              <w:t>，故志願選填的方向大多以家長的意見為指標填寫</w:t>
            </w:r>
            <w:r w:rsidR="00BF669D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8228E" w:rsidRPr="006579FC" w:rsidRDefault="0018228E" w:rsidP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第2次：</w:t>
            </w:r>
            <w:r w:rsidR="00BF669D">
              <w:rPr>
                <w:rFonts w:ascii="標楷體" w:eastAsia="標楷體" w:hAnsi="標楷體" w:hint="eastAsia"/>
                <w:sz w:val="20"/>
                <w:szCs w:val="20"/>
              </w:rPr>
              <w:t>學生志願</w:t>
            </w:r>
            <w:proofErr w:type="gramStart"/>
            <w:r w:rsidR="00BF669D">
              <w:rPr>
                <w:rFonts w:ascii="標楷體" w:eastAsia="標楷體" w:hAnsi="標楷體" w:hint="eastAsia"/>
                <w:sz w:val="20"/>
                <w:szCs w:val="20"/>
              </w:rPr>
              <w:t>選填前</w:t>
            </w:r>
            <w:proofErr w:type="gramEnd"/>
            <w:r w:rsidR="00BF669D">
              <w:rPr>
                <w:rFonts w:ascii="標楷體" w:eastAsia="標楷體" w:hAnsi="標楷體" w:hint="eastAsia"/>
                <w:sz w:val="20"/>
                <w:szCs w:val="20"/>
              </w:rPr>
              <w:t>，先觀看15群科之介紹，讓學生去了解科系所學，</w:t>
            </w:r>
            <w:r w:rsidR="00DB382D">
              <w:rPr>
                <w:rFonts w:ascii="標楷體" w:eastAsia="標楷體" w:hAnsi="標楷體" w:hint="eastAsia"/>
                <w:sz w:val="20"/>
                <w:szCs w:val="20"/>
              </w:rPr>
              <w:t>且輔導教師在課堂上針對12年國教做說明，令學生觀念轉換，不論是就讀高中、高職或是五專，都能夠擁有大學甚至是研究所這樣的高學歷，應該</w:t>
            </w:r>
            <w:proofErr w:type="gramStart"/>
            <w:r w:rsidR="00DB382D">
              <w:rPr>
                <w:rFonts w:ascii="標楷體" w:eastAsia="標楷體" w:hAnsi="標楷體" w:hint="eastAsia"/>
                <w:sz w:val="20"/>
                <w:szCs w:val="20"/>
              </w:rPr>
              <w:t>適性揚才</w:t>
            </w:r>
            <w:proofErr w:type="gramEnd"/>
            <w:r w:rsidR="00DB382D">
              <w:rPr>
                <w:rFonts w:ascii="標楷體" w:eastAsia="標楷體" w:hAnsi="標楷體" w:hint="eastAsia"/>
                <w:sz w:val="20"/>
                <w:szCs w:val="20"/>
              </w:rPr>
              <w:t>，選擇自己適合且有興趣</w:t>
            </w:r>
            <w:proofErr w:type="gramStart"/>
            <w:r w:rsidR="00DB382D">
              <w:rPr>
                <w:rFonts w:ascii="標楷體" w:eastAsia="標楷體" w:hAnsi="標楷體" w:hint="eastAsia"/>
                <w:sz w:val="20"/>
                <w:szCs w:val="20"/>
              </w:rPr>
              <w:t>的群科</w:t>
            </w:r>
            <w:proofErr w:type="gramEnd"/>
            <w:r w:rsidR="00DB382D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837C73" w:rsidRDefault="00837C73">
      <w:pPr>
        <w:widowControl/>
        <w:rPr>
          <w:rFonts w:ascii="標楷體" w:eastAsia="標楷體" w:hAnsi="標楷體"/>
        </w:rPr>
      </w:pP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1"/>
        <w:gridCol w:w="2358"/>
        <w:gridCol w:w="2358"/>
        <w:gridCol w:w="2358"/>
        <w:gridCol w:w="2358"/>
        <w:gridCol w:w="2351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2次相較之人次變化</w:t>
            </w:r>
          </w:p>
        </w:tc>
        <w:tc>
          <w:tcPr>
            <w:tcW w:w="3773" w:type="pct"/>
            <w:gridSpan w:val="5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</w:t>
            </w:r>
            <w:r w:rsidR="00F01AE7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選填人次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增/減幅度多至少排列(多</w:t>
            </w:r>
            <w:proofErr w:type="gramStart"/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────</w:t>
            </w:r>
            <w:proofErr w:type="gramEnd"/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→少)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綜合高中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應用外語科(英文組)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753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755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53" w:type="pct"/>
          </w:tcPr>
          <w:p w:rsidR="006579FC" w:rsidRPr="00F01AE7" w:rsidRDefault="00DB382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</w:tr>
      <w:tr w:rsidR="00F01AE7" w:rsidRPr="00F01AE7" w:rsidTr="00CA6B63">
        <w:tc>
          <w:tcPr>
            <w:tcW w:w="1227" w:type="pct"/>
            <w:tcBorders>
              <w:bottom w:val="double" w:sz="4" w:space="0" w:color="auto"/>
            </w:tcBorders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F01AE7" w:rsidRPr="00F01AE7" w:rsidRDefault="00240C58" w:rsidP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進行第一次志願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選填時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，部分學生與家長在就讀學校的選擇上，可能還未進行溝通，</w:t>
            </w:r>
            <w:r w:rsidR="00E45662">
              <w:rPr>
                <w:rFonts w:ascii="標楷體" w:eastAsia="標楷體" w:hAnsi="標楷體" w:hint="eastAsia"/>
                <w:sz w:val="20"/>
                <w:szCs w:val="20"/>
              </w:rPr>
              <w:t>所以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學生在第二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次選填前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，先與家長進行校系選擇的溝通，</w:t>
            </w:r>
            <w:r w:rsidR="00E45662">
              <w:rPr>
                <w:rFonts w:ascii="標楷體" w:eastAsia="標楷體" w:hAnsi="標楷體" w:hint="eastAsia"/>
                <w:sz w:val="20"/>
                <w:szCs w:val="20"/>
              </w:rPr>
              <w:t>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呈現科系選填的變化。</w:t>
            </w:r>
          </w:p>
        </w:tc>
      </w:tr>
      <w:tr w:rsidR="006579FC" w:rsidRPr="00F01AE7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園藝科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森林科</w:t>
            </w: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土木科、農場經營科、</w:t>
            </w:r>
            <w:r w:rsidR="00E45662">
              <w:rPr>
                <w:rFonts w:ascii="標楷體" w:eastAsia="標楷體" w:hAnsi="標楷體" w:hint="eastAsia"/>
                <w:sz w:val="20"/>
                <w:szCs w:val="20"/>
              </w:rPr>
              <w:t>畜產保健科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5" w:type="pct"/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5" w:type="pct"/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3" w:type="pct"/>
          </w:tcPr>
          <w:p w:rsidR="006579FC" w:rsidRPr="00F01AE7" w:rsidRDefault="00240C5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F01AE7" w:rsidRPr="00F01AE7" w:rsidTr="00CA6B63">
        <w:tc>
          <w:tcPr>
            <w:tcW w:w="1227" w:type="pct"/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</w:tcPr>
          <w:p w:rsidR="00F01AE7" w:rsidRPr="00F01AE7" w:rsidRDefault="00E45662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在志願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選填時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，網站增加15學群之介紹，讓學生多加了解該科系的特色，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清學生想要就讀之科系，故有科系選填之變動。</w:t>
            </w: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p w:rsidR="006579FC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學生志願選填</w:t>
      </w:r>
      <w:r w:rsidR="00354D72"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Style w:val="ab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2410"/>
        <w:gridCol w:w="4961"/>
        <w:gridCol w:w="5263"/>
      </w:tblGrid>
      <w:tr w:rsidR="00E229BC" w:rsidRPr="00D649EC" w:rsidTr="00E45662">
        <w:tc>
          <w:tcPr>
            <w:tcW w:w="1384" w:type="dxa"/>
            <w:vAlign w:val="center"/>
          </w:tcPr>
          <w:p w:rsidR="00E229BC" w:rsidRPr="00D649EC" w:rsidRDefault="00354D72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</w:t>
            </w:r>
            <w:r w:rsidR="00E229BC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229BC" w:rsidRPr="00D649EC" w:rsidRDefault="00E229BC" w:rsidP="00E229B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4961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(請說明如何結合生涯輔導紀錄手冊)</w:t>
            </w:r>
          </w:p>
        </w:tc>
      </w:tr>
      <w:tr w:rsidR="00EA5B1C" w:rsidRPr="00325EA2" w:rsidTr="00EA5B1C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5B1C" w:rsidRPr="009E35EE" w:rsidRDefault="00EA5B1C" w:rsidP="00E229B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學生志願選填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結果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4961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A5B1C" w:rsidRPr="0062656F" w:rsidRDefault="00EA5B1C" w:rsidP="00EA5B1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2656F">
              <w:rPr>
                <w:rFonts w:ascii="Times New Roman" w:eastAsia="標楷體" w:hAnsi="標楷體"/>
                <w:szCs w:val="24"/>
              </w:rPr>
              <w:t>學生對於個人生涯發展方向已能初步定向，在輔導措施上毋須再給予太多分析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及建議，僅需</w:t>
            </w:r>
            <w:r>
              <w:rPr>
                <w:rFonts w:ascii="標楷體" w:eastAsia="標楷體" w:hAnsi="標楷體" w:cs="標楷體" w:hint="eastAsia"/>
                <w:szCs w:val="24"/>
              </w:rPr>
              <w:t>與學生搭配生涯輔導紀錄手冊之內容，進行審視自我，及個人興趣、性向之確認，並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對學生的決定給予支持即可。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5B1C" w:rsidRPr="0062656F" w:rsidRDefault="00EA5B1C" w:rsidP="0062656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62656F">
              <w:rPr>
                <w:rFonts w:ascii="標楷體" w:eastAsia="標楷體" w:hAnsi="標楷體" w:cs="標楷體"/>
                <w:szCs w:val="24"/>
              </w:rPr>
              <w:t>類此情況顯示學生對於個人生涯決定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尚</w:t>
            </w:r>
            <w:r w:rsidRPr="0062656F">
              <w:rPr>
                <w:rFonts w:ascii="標楷體" w:eastAsia="標楷體" w:hAnsi="標楷體" w:cs="標楷體"/>
                <w:szCs w:val="24"/>
              </w:rPr>
              <w:t>處於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未定向中</w:t>
            </w:r>
            <w:r w:rsidRPr="0062656F">
              <w:rPr>
                <w:rFonts w:ascii="標楷體" w:eastAsia="標楷體" w:hAnsi="標楷體" w:cs="標楷體"/>
                <w:szCs w:val="24"/>
              </w:rPr>
              <w:t>，在這樣的狀況下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，建議</w:t>
            </w:r>
            <w:r w:rsidRPr="0062656F">
              <w:rPr>
                <w:rFonts w:ascii="標楷體" w:eastAsia="標楷體" w:hAnsi="標楷體" w:cs="標楷體"/>
                <w:szCs w:val="24"/>
              </w:rPr>
              <w:t>透過生涯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輔導紀錄手冊的內容</w:t>
            </w:r>
            <w:r w:rsidRPr="0062656F">
              <w:rPr>
                <w:rFonts w:ascii="標楷體" w:eastAsia="標楷體" w:hAnsi="標楷體" w:cs="標楷體"/>
                <w:szCs w:val="24"/>
              </w:rPr>
              <w:t>，</w:t>
            </w:r>
            <w:r w:rsidRPr="0062656F">
              <w:rPr>
                <w:rFonts w:ascii="標楷體" w:eastAsia="標楷體" w:hAnsi="標楷體" w:cs="標楷體" w:hint="eastAsia"/>
                <w:szCs w:val="24"/>
              </w:rPr>
              <w:t>加上導師及</w:t>
            </w:r>
            <w:r w:rsidRPr="0062656F">
              <w:rPr>
                <w:rFonts w:ascii="標楷體" w:eastAsia="標楷體" w:hAnsi="標楷體" w:cs="標楷體"/>
                <w:szCs w:val="24"/>
              </w:rPr>
              <w:t>輔導人員應給予個別的晤談或諮商，協助學生更進一步了解自己的興趣、性向、能力所適合的發展方向，進而在下一次的志願選填試探系統填寫時，其志願結果能呈現逐步收斂的情況。</w:t>
            </w:r>
          </w:p>
        </w:tc>
      </w:tr>
      <w:tr w:rsidR="00EA5B1C" w:rsidRPr="00325EA2" w:rsidTr="00270E53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496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5B1C" w:rsidRPr="0062656F" w:rsidRDefault="00EA5B1C" w:rsidP="0062656F">
            <w:pPr>
              <w:rPr>
                <w:rFonts w:ascii="標楷體" w:eastAsia="標楷體" w:hAnsi="標楷體"/>
              </w:rPr>
            </w:pPr>
            <w:r w:rsidRPr="0062656F">
              <w:rPr>
                <w:rFonts w:ascii="標楷體" w:eastAsia="標楷體" w:hAnsi="標楷體" w:hint="eastAsia"/>
              </w:rPr>
              <w:t>首先，需</w:t>
            </w:r>
            <w:r w:rsidRPr="0062656F">
              <w:rPr>
                <w:rFonts w:ascii="標楷體" w:eastAsia="標楷體" w:hAnsi="標楷體"/>
              </w:rPr>
              <w:t>瞭解學生對測驗結果的解釋是否瞭解</w:t>
            </w:r>
            <w:r w:rsidRPr="0062656F">
              <w:rPr>
                <w:rFonts w:ascii="標楷體" w:eastAsia="標楷體" w:hAnsi="標楷體" w:hint="eastAsia"/>
              </w:rPr>
              <w:t>，次之</w:t>
            </w:r>
            <w:r w:rsidRPr="0062656F">
              <w:rPr>
                <w:rFonts w:ascii="標楷體" w:eastAsia="標楷體" w:hAnsi="標楷體"/>
              </w:rPr>
              <w:t>探討學生所填志願和興趣不一致的理由</w:t>
            </w:r>
            <w:r w:rsidRPr="0062656F">
              <w:rPr>
                <w:rFonts w:ascii="標楷體" w:eastAsia="標楷體" w:hAnsi="標楷體" w:hint="eastAsia"/>
              </w:rPr>
              <w:t>，並</w:t>
            </w:r>
            <w:r w:rsidRPr="0062656F">
              <w:rPr>
                <w:rFonts w:ascii="標楷體" w:eastAsia="標楷體" w:hAnsi="標楷體"/>
              </w:rPr>
              <w:t>依</w:t>
            </w:r>
            <w:r w:rsidRPr="0062656F">
              <w:rPr>
                <w:rFonts w:ascii="標楷體" w:eastAsia="標楷體" w:hAnsi="標楷體" w:hint="eastAsia"/>
              </w:rPr>
              <w:t>前項結果視需要提供個別興趣測驗或生涯諮詢，且配合生涯輔導紀錄手冊之內容進行分析及比對。</w:t>
            </w:r>
          </w:p>
        </w:tc>
      </w:tr>
      <w:tr w:rsidR="00EA5B1C" w:rsidRPr="0062656F" w:rsidTr="00270E53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496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5B1C" w:rsidRPr="0062656F" w:rsidRDefault="00EA5B1C" w:rsidP="0062656F">
            <w:pPr>
              <w:rPr>
                <w:rFonts w:ascii="標楷體" w:eastAsia="標楷體" w:hAnsi="標楷體"/>
              </w:rPr>
            </w:pPr>
            <w:r w:rsidRPr="0062656F">
              <w:rPr>
                <w:rFonts w:ascii="標楷體" w:eastAsia="標楷體" w:hAnsi="標楷體" w:hint="eastAsia"/>
              </w:rPr>
              <w:t>首先，瞭解學生對測驗結果的解釋是否瞭解，進一步探討學生所填志願和性向或能力不一致的理由。將學生的成績表現和志願學校科別及所需的能力相比對，針對弱勢科目分析瞭解其困難原因，溝通並找出補強方法。並將</w:t>
            </w:r>
            <w:proofErr w:type="gramStart"/>
            <w:r w:rsidRPr="0062656F">
              <w:rPr>
                <w:rFonts w:ascii="標楷體" w:eastAsia="標楷體" w:hAnsi="標楷體" w:hint="eastAsia"/>
              </w:rPr>
              <w:t>將</w:t>
            </w:r>
            <w:proofErr w:type="gramEnd"/>
            <w:r w:rsidRPr="0062656F">
              <w:rPr>
                <w:rFonts w:ascii="標楷體" w:eastAsia="標楷體" w:hAnsi="標楷體" w:hint="eastAsia"/>
              </w:rPr>
              <w:t>性向測驗或平時成績與生涯輔導紀錄手冊之內容進行分析及比對，視需要提供個別性向測驗或生涯諮詢。</w:t>
            </w:r>
          </w:p>
        </w:tc>
      </w:tr>
      <w:tr w:rsidR="00EA5B1C" w:rsidRPr="00325EA2" w:rsidTr="00270E53">
        <w:trPr>
          <w:trHeight w:val="407"/>
        </w:trPr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5B1C" w:rsidRPr="00325EA2" w:rsidRDefault="00EA5B1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學生導師/任課教師期待</w:t>
            </w:r>
          </w:p>
        </w:tc>
        <w:tc>
          <w:tcPr>
            <w:tcW w:w="4961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EA5B1C" w:rsidRPr="00325EA2" w:rsidRDefault="00EA5B1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5B1C" w:rsidRPr="005425D1" w:rsidRDefault="005425D1" w:rsidP="005425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5425D1">
              <w:rPr>
                <w:rFonts w:ascii="標楷體" w:eastAsia="標楷體" w:hAnsi="標楷體" w:hint="eastAsia"/>
                <w:szCs w:val="24"/>
              </w:rPr>
              <w:t>學生導師依據學生表現</w:t>
            </w:r>
            <w:r>
              <w:rPr>
                <w:rFonts w:ascii="標楷體" w:eastAsia="標楷體" w:hAnsi="標楷體" w:hint="eastAsia"/>
                <w:szCs w:val="24"/>
              </w:rPr>
              <w:t>，進行志願選填輔導，可再</w:t>
            </w:r>
            <w:r w:rsidRPr="005425D1">
              <w:rPr>
                <w:rFonts w:ascii="標楷體" w:eastAsia="標楷體" w:hAnsi="標楷體" w:hint="eastAsia"/>
                <w:szCs w:val="24"/>
              </w:rPr>
              <w:t>結合生涯輔導紀錄手冊資料</w:t>
            </w:r>
            <w:r>
              <w:rPr>
                <w:rFonts w:ascii="標楷體" w:eastAsia="標楷體" w:hAnsi="標楷體" w:hint="eastAsia"/>
                <w:szCs w:val="24"/>
              </w:rPr>
              <w:t>，搭配學生之性向及興趣進行溝通輔導，分析與討論，期許達到以學生為主的最好決策。</w:t>
            </w:r>
          </w:p>
        </w:tc>
      </w:tr>
      <w:tr w:rsidR="00EA5B1C" w:rsidRPr="00325EA2" w:rsidTr="00270E53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5B1C" w:rsidRPr="00325EA2" w:rsidRDefault="00EA5B1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A5B1C" w:rsidRPr="00325EA2" w:rsidRDefault="00EA5B1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(輔導策略請結合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親職教育講座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親職座談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家庭訪問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961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5B1C" w:rsidRPr="00E45662" w:rsidRDefault="00EA5B1C" w:rsidP="0062656F">
            <w:pPr>
              <w:spacing w:line="480" w:lineRule="exact"/>
              <w:ind w:leftChars="221" w:left="53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A5B1C" w:rsidRPr="00EA5B1C" w:rsidRDefault="00EA5B1C" w:rsidP="00EA5B1C">
            <w:pPr>
              <w:rPr>
                <w:rFonts w:ascii="標楷體" w:eastAsia="標楷體" w:hAnsi="標楷體"/>
              </w:rPr>
            </w:pPr>
            <w:r w:rsidRPr="00EA5B1C">
              <w:rPr>
                <w:rFonts w:ascii="標楷體" w:eastAsia="標楷體" w:hAnsi="標楷體" w:hint="eastAsia"/>
              </w:rPr>
              <w:t>結合親職教育講座，協助家長瞭解學生選填的理由，扮演家長與學生之間的溝通橋樑，探討學生所填志願和家長意見不一致的理由，並運用國中學生生涯輔導記錄手冊與生涯檔案等資訊，讓學生瞭解師長建議的原因。更可透過個別輔導運用相關生涯資訊，協助家長或學生破除校系排名的迷思，重新思考生涯抉擇的意義與價值。</w:t>
            </w:r>
          </w:p>
        </w:tc>
      </w:tr>
      <w:tr w:rsidR="00E229BC" w:rsidRPr="00325EA2" w:rsidTr="00E45662">
        <w:tc>
          <w:tcPr>
            <w:tcW w:w="3794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224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運用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</w:tr>
      <w:tr w:rsidR="00E229BC" w:rsidRPr="00325EA2" w:rsidTr="00E45662">
        <w:tc>
          <w:tcPr>
            <w:tcW w:w="3794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224" w:type="dxa"/>
            <w:gridSpan w:val="2"/>
            <w:vAlign w:val="center"/>
          </w:tcPr>
          <w:p w:rsidR="00E229BC" w:rsidRPr="008D4E32" w:rsidRDefault="00740605" w:rsidP="00740605">
            <w:pPr>
              <w:pStyle w:val="ac"/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int="eastAsia"/>
                <w:szCs w:val="24"/>
              </w:rPr>
              <w:t>根據生涯輔導紀錄手冊內容，協助學生了解自我特質及興趣，更透過不同的心理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測驗解果紀錄</w:t>
            </w:r>
            <w:proofErr w:type="gramEnd"/>
            <w:r>
              <w:rPr>
                <w:rFonts w:ascii="標楷體" w:eastAsia="標楷體" w:hint="eastAsia"/>
                <w:szCs w:val="24"/>
              </w:rPr>
              <w:t>，提供</w:t>
            </w:r>
            <w:r w:rsidR="008D4E32" w:rsidRPr="008D4E32">
              <w:rPr>
                <w:rFonts w:ascii="標楷體" w:eastAsia="標楷體" w:hint="eastAsia"/>
                <w:szCs w:val="24"/>
              </w:rPr>
              <w:t>學習低成就</w:t>
            </w:r>
            <w:r w:rsidR="008D4E32">
              <w:rPr>
                <w:rFonts w:ascii="標楷體" w:eastAsia="標楷體" w:hint="eastAsia"/>
                <w:szCs w:val="24"/>
              </w:rPr>
              <w:t>的</w:t>
            </w:r>
            <w:r w:rsidR="008D4E32" w:rsidRPr="008D4E32">
              <w:rPr>
                <w:rFonts w:ascii="標楷體" w:eastAsia="標楷體" w:hint="eastAsia"/>
                <w:szCs w:val="24"/>
              </w:rPr>
              <w:t>學生</w:t>
            </w:r>
            <w:r>
              <w:rPr>
                <w:rFonts w:ascii="標楷體" w:eastAsia="標楷體" w:hint="eastAsia"/>
                <w:szCs w:val="24"/>
              </w:rPr>
              <w:t>選擇進路的方向。讓學生可以看見自己的優勢，進而加強發展。</w:t>
            </w:r>
          </w:p>
        </w:tc>
      </w:tr>
      <w:tr w:rsidR="00E229BC" w:rsidRPr="00325EA2" w:rsidTr="00E45662">
        <w:tc>
          <w:tcPr>
            <w:tcW w:w="3794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224" w:type="dxa"/>
            <w:gridSpan w:val="2"/>
            <w:vAlign w:val="center"/>
          </w:tcPr>
          <w:p w:rsidR="00E229BC" w:rsidRPr="00421AC3" w:rsidRDefault="00A72BF3" w:rsidP="00325EA2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21AC3">
              <w:rPr>
                <w:rFonts w:ascii="標楷體" w:eastAsia="標楷體" w:hAnsi="標楷體" w:hint="eastAsia"/>
                <w:szCs w:val="24"/>
              </w:rPr>
              <w:t>搭配職業試探活動及學生自行生涯試探的活動紀錄，</w:t>
            </w:r>
            <w:r w:rsidR="00421AC3" w:rsidRPr="00421AC3">
              <w:rPr>
                <w:rFonts w:ascii="標楷體" w:eastAsia="標楷體" w:hAnsi="標楷體" w:hint="eastAsia"/>
                <w:szCs w:val="24"/>
              </w:rPr>
              <w:t>協助學生選擇自己適合且有興趣之進路。</w:t>
            </w:r>
          </w:p>
        </w:tc>
      </w:tr>
      <w:tr w:rsidR="00E229BC" w:rsidRPr="00325EA2" w:rsidTr="00E45662">
        <w:tc>
          <w:tcPr>
            <w:tcW w:w="3794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224" w:type="dxa"/>
            <w:gridSpan w:val="2"/>
            <w:vAlign w:val="center"/>
          </w:tcPr>
          <w:p w:rsidR="00E229BC" w:rsidRPr="00421AC3" w:rsidRDefault="00421AC3" w:rsidP="00325EA2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瞭解</w:t>
            </w:r>
            <w:r w:rsidR="001B48DC" w:rsidRPr="00421AC3">
              <w:rPr>
                <w:rFonts w:ascii="標楷體" w:eastAsia="標楷體" w:hAnsi="標楷體" w:hint="eastAsia"/>
                <w:szCs w:val="24"/>
              </w:rPr>
              <w:t>學生不想或無法來學校之原因，透過適當的輔導及幫助令學生排除內外在之因素</w:t>
            </w:r>
            <w:r>
              <w:rPr>
                <w:rFonts w:ascii="標楷體" w:eastAsia="標楷體" w:hAnsi="標楷體" w:hint="eastAsia"/>
                <w:szCs w:val="24"/>
              </w:rPr>
              <w:t>，並搭配生涯輔導紀錄手冊，協助學生學習適當技能及升學或就業進路。</w:t>
            </w:r>
          </w:p>
        </w:tc>
      </w:tr>
    </w:tbl>
    <w:p w:rsidR="00551985" w:rsidRDefault="00551985" w:rsidP="00D649EC">
      <w:pPr>
        <w:widowControl/>
        <w:rPr>
          <w:rFonts w:ascii="標楷體" w:eastAsia="標楷體" w:hAnsi="標楷體"/>
        </w:rPr>
      </w:pPr>
    </w:p>
    <w:p w:rsidR="00354D72" w:rsidRDefault="00354D72" w:rsidP="00354D72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 w:rsidR="000427D2">
        <w:rPr>
          <w:rFonts w:ascii="標楷體" w:eastAsia="標楷體" w:hAnsi="標楷體" w:hint="eastAsia"/>
          <w:sz w:val="28"/>
          <w:szCs w:val="28"/>
        </w:rPr>
        <w:t>(請試寫之)</w:t>
      </w:r>
    </w:p>
    <w:p w:rsidR="00421AC3" w:rsidRDefault="00421AC3" w:rsidP="00421AC3">
      <w:pPr>
        <w:pStyle w:val="aa"/>
        <w:numPr>
          <w:ilvl w:val="1"/>
          <w:numId w:val="2"/>
        </w:numPr>
        <w:ind w:leftChars="0"/>
        <w:rPr>
          <w:rFonts w:ascii="標楷體" w:eastAsia="標楷體" w:hAnsi="標楷體" w:hint="eastAsia"/>
          <w:sz w:val="28"/>
        </w:rPr>
      </w:pPr>
      <w:r w:rsidRPr="00421AC3">
        <w:rPr>
          <w:rFonts w:ascii="標楷體" w:eastAsia="標楷體" w:hAnsi="標楷體" w:hint="eastAsia"/>
          <w:sz w:val="28"/>
        </w:rPr>
        <w:lastRenderedPageBreak/>
        <w:t>本校生涯發展教育之實施，是透過融入領域課程教學及運用相關活動等方式進行。透過教學與活動，協助學生自我覺察與探索、生涯試探及生涯規劃。</w:t>
      </w:r>
    </w:p>
    <w:p w:rsidR="00421AC3" w:rsidRDefault="00421AC3" w:rsidP="00421AC3">
      <w:pPr>
        <w:pStyle w:val="aa"/>
        <w:numPr>
          <w:ilvl w:val="1"/>
          <w:numId w:val="2"/>
        </w:numPr>
        <w:ind w:leftChars="0"/>
        <w:rPr>
          <w:rFonts w:ascii="標楷體" w:eastAsia="標楷體" w:hAnsi="標楷體" w:hint="eastAsia"/>
          <w:sz w:val="28"/>
        </w:rPr>
      </w:pPr>
      <w:r w:rsidRPr="00421AC3">
        <w:rPr>
          <w:rFonts w:ascii="標楷體" w:eastAsia="標楷體" w:hAnsi="標楷體" w:hint="eastAsia"/>
          <w:sz w:val="28"/>
        </w:rPr>
        <w:t>以綜合領域課程為主軸，融入七年級課程內容，以自我覺察與探索及認識</w:t>
      </w:r>
      <w:proofErr w:type="gramStart"/>
      <w:r w:rsidRPr="00421AC3">
        <w:rPr>
          <w:rFonts w:ascii="標楷體" w:eastAsia="標楷體" w:hAnsi="標楷體" w:hint="eastAsia"/>
          <w:sz w:val="28"/>
        </w:rPr>
        <w:t>職業類群為主</w:t>
      </w:r>
      <w:proofErr w:type="gramEnd"/>
      <w:r w:rsidRPr="00421AC3">
        <w:rPr>
          <w:rFonts w:ascii="標楷體" w:eastAsia="標楷體" w:hAnsi="標楷體" w:hint="eastAsia"/>
          <w:sz w:val="28"/>
        </w:rPr>
        <w:t>，並安排</w:t>
      </w:r>
      <w:proofErr w:type="gramStart"/>
      <w:r w:rsidRPr="00421AC3">
        <w:rPr>
          <w:rFonts w:ascii="標楷體" w:eastAsia="標楷體" w:hAnsi="標楷體" w:hint="eastAsia"/>
          <w:sz w:val="28"/>
        </w:rPr>
        <w:t>適當節</w:t>
      </w:r>
      <w:proofErr w:type="gramEnd"/>
      <w:r w:rsidRPr="00421AC3">
        <w:rPr>
          <w:rFonts w:ascii="標楷體" w:eastAsia="標楷體" w:hAnsi="標楷體" w:hint="eastAsia"/>
          <w:sz w:val="28"/>
        </w:rPr>
        <w:t>數進行生涯發展教育。</w:t>
      </w:r>
    </w:p>
    <w:p w:rsidR="00421AC3" w:rsidRPr="00421AC3" w:rsidRDefault="00421AC3" w:rsidP="00421AC3">
      <w:pPr>
        <w:pStyle w:val="aa"/>
        <w:numPr>
          <w:ilvl w:val="1"/>
          <w:numId w:val="2"/>
        </w:numPr>
        <w:ind w:leftChars="0"/>
        <w:rPr>
          <w:rFonts w:ascii="標楷體" w:eastAsia="標楷體" w:hAnsi="標楷體" w:hint="eastAsia"/>
          <w:sz w:val="28"/>
        </w:rPr>
      </w:pPr>
      <w:r w:rsidRPr="00421AC3">
        <w:rPr>
          <w:rFonts w:ascii="標楷體" w:eastAsia="標楷體" w:hAnsi="標楷體" w:hint="eastAsia"/>
          <w:sz w:val="28"/>
        </w:rPr>
        <w:t>透過</w:t>
      </w:r>
      <w:r>
        <w:rPr>
          <w:rFonts w:ascii="標楷體" w:eastAsia="標楷體" w:hAnsi="標楷體" w:hint="eastAsia"/>
          <w:sz w:val="28"/>
        </w:rPr>
        <w:t>職業試探及職業達人分享，讓學生</w:t>
      </w:r>
      <w:r w:rsidRPr="00421AC3">
        <w:rPr>
          <w:rFonts w:ascii="標楷體" w:eastAsia="標楷體" w:hAnsi="標楷體" w:hint="eastAsia"/>
          <w:sz w:val="28"/>
        </w:rPr>
        <w:t>對工作世界的認識，</w:t>
      </w:r>
      <w:r>
        <w:rPr>
          <w:rFonts w:ascii="標楷體" w:eastAsia="標楷體" w:hAnsi="標楷體" w:hint="eastAsia"/>
          <w:sz w:val="28"/>
        </w:rPr>
        <w:t>並</w:t>
      </w:r>
      <w:r w:rsidRPr="00421AC3">
        <w:rPr>
          <w:rFonts w:ascii="標楷體" w:eastAsia="標楷體" w:hAnsi="標楷體" w:hint="eastAsia"/>
          <w:sz w:val="28"/>
        </w:rPr>
        <w:t>建立正確的工作價值觀及高尚的職業道德，並培養學生生涯規劃及解決問題的能力。</w:t>
      </w:r>
    </w:p>
    <w:p w:rsidR="00421AC3" w:rsidRPr="00421AC3" w:rsidRDefault="00421AC3" w:rsidP="00421AC3">
      <w:pPr>
        <w:pStyle w:val="aa"/>
        <w:ind w:leftChars="0"/>
        <w:rPr>
          <w:rFonts w:ascii="標楷體" w:eastAsia="標楷體" w:hAnsi="標楷體"/>
          <w:sz w:val="28"/>
          <w:szCs w:val="28"/>
        </w:rPr>
      </w:pPr>
    </w:p>
    <w:sectPr w:rsidR="00421AC3" w:rsidRPr="00421AC3" w:rsidSect="00856D53">
      <w:footerReference w:type="default" r:id="rId8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5F" w:rsidRDefault="0061385F" w:rsidP="00336819">
      <w:r>
        <w:separator/>
      </w:r>
    </w:p>
  </w:endnote>
  <w:endnote w:type="continuationSeparator" w:id="0">
    <w:p w:rsidR="0061385F" w:rsidRDefault="0061385F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363"/>
      <w:docPartObj>
        <w:docPartGallery w:val="Page Numbers (Bottom of Page)"/>
        <w:docPartUnique/>
      </w:docPartObj>
    </w:sdtPr>
    <w:sdtContent>
      <w:p w:rsidR="007C0AC8" w:rsidRDefault="00E732B3">
        <w:pPr>
          <w:pStyle w:val="a8"/>
          <w:jc w:val="center"/>
        </w:pPr>
        <w:fldSimple w:instr=" PAGE   \* MERGEFORMAT ">
          <w:r w:rsidR="00421AC3" w:rsidRPr="00421AC3">
            <w:rPr>
              <w:noProof/>
              <w:lang w:val="zh-TW"/>
            </w:rPr>
            <w:t>2</w:t>
          </w:r>
        </w:fldSimple>
      </w:p>
    </w:sdtContent>
  </w:sdt>
  <w:p w:rsidR="007C0AC8" w:rsidRDefault="00856D53" w:rsidP="00856D53">
    <w:pPr>
      <w:pStyle w:val="a8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5F" w:rsidRDefault="0061385F" w:rsidP="00336819">
      <w:r>
        <w:separator/>
      </w:r>
    </w:p>
  </w:footnote>
  <w:footnote w:type="continuationSeparator" w:id="0">
    <w:p w:rsidR="0061385F" w:rsidRDefault="0061385F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E"/>
    <w:rsid w:val="000427D2"/>
    <w:rsid w:val="00050572"/>
    <w:rsid w:val="0006096E"/>
    <w:rsid w:val="00100040"/>
    <w:rsid w:val="0018228E"/>
    <w:rsid w:val="001B48DC"/>
    <w:rsid w:val="001C40CF"/>
    <w:rsid w:val="001F0D2D"/>
    <w:rsid w:val="002371D5"/>
    <w:rsid w:val="00240C58"/>
    <w:rsid w:val="00271FC1"/>
    <w:rsid w:val="002D3182"/>
    <w:rsid w:val="002D335F"/>
    <w:rsid w:val="003162A0"/>
    <w:rsid w:val="00325EA2"/>
    <w:rsid w:val="00336751"/>
    <w:rsid w:val="00336819"/>
    <w:rsid w:val="00353053"/>
    <w:rsid w:val="00354D72"/>
    <w:rsid w:val="00357962"/>
    <w:rsid w:val="003865F8"/>
    <w:rsid w:val="003F413C"/>
    <w:rsid w:val="00421AC3"/>
    <w:rsid w:val="004540AA"/>
    <w:rsid w:val="004C0399"/>
    <w:rsid w:val="005124A3"/>
    <w:rsid w:val="005425D1"/>
    <w:rsid w:val="0055102F"/>
    <w:rsid w:val="00551985"/>
    <w:rsid w:val="005A1917"/>
    <w:rsid w:val="005D33F7"/>
    <w:rsid w:val="00600C36"/>
    <w:rsid w:val="0061385F"/>
    <w:rsid w:val="0062656F"/>
    <w:rsid w:val="006579FC"/>
    <w:rsid w:val="00673ED9"/>
    <w:rsid w:val="00736E03"/>
    <w:rsid w:val="007401E2"/>
    <w:rsid w:val="00740605"/>
    <w:rsid w:val="007B2200"/>
    <w:rsid w:val="007C0AC8"/>
    <w:rsid w:val="007D6FA3"/>
    <w:rsid w:val="007E67E6"/>
    <w:rsid w:val="007F4FEE"/>
    <w:rsid w:val="00801A4D"/>
    <w:rsid w:val="008327C0"/>
    <w:rsid w:val="00837C73"/>
    <w:rsid w:val="00856D53"/>
    <w:rsid w:val="008D4E32"/>
    <w:rsid w:val="008F3D63"/>
    <w:rsid w:val="008F46B5"/>
    <w:rsid w:val="0091031E"/>
    <w:rsid w:val="009E35EE"/>
    <w:rsid w:val="00A12463"/>
    <w:rsid w:val="00A40C1B"/>
    <w:rsid w:val="00A72BF3"/>
    <w:rsid w:val="00A762B8"/>
    <w:rsid w:val="00A9740D"/>
    <w:rsid w:val="00AA233F"/>
    <w:rsid w:val="00B74DC0"/>
    <w:rsid w:val="00B9113F"/>
    <w:rsid w:val="00BB6190"/>
    <w:rsid w:val="00BF0EE5"/>
    <w:rsid w:val="00BF669D"/>
    <w:rsid w:val="00BF7059"/>
    <w:rsid w:val="00C36129"/>
    <w:rsid w:val="00C94D87"/>
    <w:rsid w:val="00CA6B63"/>
    <w:rsid w:val="00CB1197"/>
    <w:rsid w:val="00CD4C2C"/>
    <w:rsid w:val="00CD76EE"/>
    <w:rsid w:val="00D129AB"/>
    <w:rsid w:val="00D2165C"/>
    <w:rsid w:val="00D21B9B"/>
    <w:rsid w:val="00D2530C"/>
    <w:rsid w:val="00D649EC"/>
    <w:rsid w:val="00DB382D"/>
    <w:rsid w:val="00E229BC"/>
    <w:rsid w:val="00E27162"/>
    <w:rsid w:val="00E417AF"/>
    <w:rsid w:val="00E45662"/>
    <w:rsid w:val="00E56BC1"/>
    <w:rsid w:val="00E732B3"/>
    <w:rsid w:val="00E97AD6"/>
    <w:rsid w:val="00EA55C4"/>
    <w:rsid w:val="00EA5B1C"/>
    <w:rsid w:val="00F01AE7"/>
    <w:rsid w:val="00F11327"/>
    <w:rsid w:val="00F335A0"/>
    <w:rsid w:val="00F67FF8"/>
    <w:rsid w:val="00F93E47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33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1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AF"/>
    <w:rPr>
      <w:sz w:val="20"/>
      <w:szCs w:val="20"/>
    </w:rPr>
  </w:style>
  <w:style w:type="paragraph" w:styleId="aa">
    <w:name w:val="List Paragraph"/>
    <w:basedOn w:val="a"/>
    <w:uiPriority w:val="34"/>
    <w:qFormat/>
    <w:rsid w:val="00E417AF"/>
    <w:pPr>
      <w:ind w:leftChars="200" w:left="480"/>
    </w:pPr>
  </w:style>
  <w:style w:type="table" w:styleId="ab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8D4E32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8D4E32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8411-D30D-4998-BD28-10CCBFD9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tcu_user</cp:lastModifiedBy>
  <cp:revision>9</cp:revision>
  <cp:lastPrinted>2014-03-11T08:29:00Z</cp:lastPrinted>
  <dcterms:created xsi:type="dcterms:W3CDTF">2014-04-29T07:39:00Z</dcterms:created>
  <dcterms:modified xsi:type="dcterms:W3CDTF">2014-05-08T08:27:00Z</dcterms:modified>
</cp:coreProperties>
</file>