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BB" w:rsidRPr="00D45D9C" w:rsidRDefault="00094ABB" w:rsidP="00FB3C54">
      <w:pPr>
        <w:spacing w:line="660" w:lineRule="exact"/>
        <w:ind w:left="2422" w:right="600" w:hanging="2138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D45D9C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104</w:t>
      </w:r>
      <w:r w:rsidRPr="00D45D9C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年度青少年藥物濫用與新興毒品防制國際論壇</w:t>
      </w:r>
    </w:p>
    <w:p w:rsidR="00094ABB" w:rsidRPr="00D45D9C" w:rsidRDefault="00094ABB" w:rsidP="00807B2D">
      <w:pPr>
        <w:spacing w:line="660" w:lineRule="exact"/>
        <w:ind w:firstLineChars="71" w:firstLine="31680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</w:p>
    <w:p w:rsidR="00094ABB" w:rsidRPr="00D45D9C" w:rsidRDefault="00094ABB" w:rsidP="00FB3C54">
      <w:pPr>
        <w:numPr>
          <w:ilvl w:val="0"/>
          <w:numId w:val="2"/>
        </w:numPr>
        <w:autoSpaceDE w:val="0"/>
        <w:autoSpaceDN w:val="0"/>
        <w:adjustRightInd w:val="0"/>
        <w:spacing w:line="660" w:lineRule="exact"/>
        <w:rPr>
          <w:rFonts w:ascii="標楷體" w:eastAsia="標楷體" w:hAnsi="標楷體"/>
          <w:color w:val="000000"/>
          <w:sz w:val="28"/>
          <w:szCs w:val="28"/>
        </w:rPr>
      </w:pPr>
      <w:r w:rsidRPr="00D45D9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目的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：現今毒品日益猖獗，加上網際網路資訊流通發達，新興毒品趁勢成為毒販發展之新目標；青少年追求感官上的娛樂刺激，常聚集流連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>KTV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>PUB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、舞廳及網咖等場所，為助興進而施用特殊藥性之毒品，包括「神仙水」、「咖啡粉」、「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>K2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」、「神奇磨菇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>(magic mushroom)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」、「浴鹽」、「喵喵」等混合強化危藥，氾濫問題已衍生許多對社會治安相關之危害。鑑於此，特別結合醫界、學術等專家學者，共同探討毒品防制策略議題，提供本市毒品防制策略之參考。</w:t>
      </w:r>
    </w:p>
    <w:p w:rsidR="00094ABB" w:rsidRPr="00D45D9C" w:rsidRDefault="00094ABB" w:rsidP="00FB3C54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color w:val="000000"/>
          <w:sz w:val="28"/>
          <w:szCs w:val="28"/>
        </w:rPr>
      </w:pPr>
      <w:r w:rsidRPr="00D45D9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二、主辦單位：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臺南市政府毒品危害防制中心、臺南市政府衛生局。</w:t>
      </w:r>
    </w:p>
    <w:p w:rsidR="00094ABB" w:rsidRPr="00D45D9C" w:rsidRDefault="00094ABB" w:rsidP="00FB3C54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三、</w:t>
      </w:r>
      <w:r w:rsidRPr="00D45D9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協辦單位：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衛生福利部嘉南療養院。</w:t>
      </w:r>
    </w:p>
    <w:p w:rsidR="00094ABB" w:rsidRPr="00D45D9C" w:rsidRDefault="00094ABB" w:rsidP="00FB3C54">
      <w:pPr>
        <w:spacing w:line="660" w:lineRule="exact"/>
        <w:ind w:left="-1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45D9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四、舉辦時間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>104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>9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>11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 xml:space="preserve"> (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星期五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 xml:space="preserve">) 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上午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>9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時至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>17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時。</w:t>
      </w:r>
    </w:p>
    <w:p w:rsidR="00094ABB" w:rsidRPr="00D45D9C" w:rsidRDefault="00094ABB" w:rsidP="00807B2D">
      <w:pPr>
        <w:tabs>
          <w:tab w:val="left" w:pos="426"/>
        </w:tabs>
        <w:spacing w:line="660" w:lineRule="exact"/>
        <w:ind w:leftChars="-1" w:left="31680" w:hanging="1"/>
        <w:rPr>
          <w:rFonts w:ascii="標楷體" w:eastAsia="標楷體" w:hAnsi="標楷體"/>
          <w:color w:val="000000"/>
          <w:sz w:val="28"/>
          <w:szCs w:val="28"/>
        </w:rPr>
      </w:pPr>
      <w:r w:rsidRPr="00D45D9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五、會場地點：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衛生福利部嘉南療養院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 xml:space="preserve"> B1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演講廳。</w:t>
      </w:r>
    </w:p>
    <w:p w:rsidR="00094ABB" w:rsidRPr="00D45D9C" w:rsidRDefault="00094ABB" w:rsidP="00807B2D">
      <w:pPr>
        <w:tabs>
          <w:tab w:val="left" w:pos="426"/>
        </w:tabs>
        <w:spacing w:line="660" w:lineRule="exact"/>
        <w:ind w:leftChars="-1" w:left="31680" w:hanging="1"/>
        <w:rPr>
          <w:rFonts w:ascii="標楷體" w:eastAsia="標楷體" w:hAnsi="標楷體"/>
          <w:color w:val="000000"/>
          <w:sz w:val="28"/>
          <w:szCs w:val="28"/>
        </w:rPr>
      </w:pPr>
      <w:r w:rsidRPr="00D45D9C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 xml:space="preserve">              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臺南市仁德區中山路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>870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巷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>80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 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094ABB" w:rsidRPr="00D45D9C" w:rsidRDefault="00094ABB" w:rsidP="00807B2D">
      <w:pPr>
        <w:spacing w:line="660" w:lineRule="exact"/>
        <w:ind w:leftChars="-1" w:left="31680" w:hangingChars="152" w:firstLine="31680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D45D9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六、參加對象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094ABB" w:rsidRPr="00D45D9C" w:rsidRDefault="00094ABB" w:rsidP="00FB3C54">
      <w:pPr>
        <w:numPr>
          <w:ilvl w:val="0"/>
          <w:numId w:val="1"/>
        </w:numPr>
        <w:spacing w:line="660" w:lineRule="exact"/>
        <w:rPr>
          <w:rFonts w:ascii="標楷體" w:eastAsia="標楷體" w:hAnsi="標楷體"/>
          <w:color w:val="000000"/>
          <w:sz w:val="28"/>
          <w:szCs w:val="28"/>
        </w:rPr>
      </w:pP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各縣市毒品危害防制中心個案管理師。</w:t>
      </w:r>
    </w:p>
    <w:p w:rsidR="00094ABB" w:rsidRPr="00D45D9C" w:rsidRDefault="00094ABB" w:rsidP="00FB3C54">
      <w:pPr>
        <w:numPr>
          <w:ilvl w:val="0"/>
          <w:numId w:val="1"/>
        </w:numPr>
        <w:spacing w:line="660" w:lineRule="exact"/>
        <w:rPr>
          <w:rFonts w:ascii="標楷體" w:eastAsia="標楷體" w:hAnsi="標楷體"/>
          <w:color w:val="000000"/>
          <w:sz w:val="28"/>
          <w:szCs w:val="28"/>
        </w:rPr>
      </w:pP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各縣市毒品防制網絡單位人員。</w:t>
      </w:r>
    </w:p>
    <w:p w:rsidR="00094ABB" w:rsidRPr="00D45D9C" w:rsidRDefault="00094ABB" w:rsidP="00FB3C54">
      <w:pPr>
        <w:numPr>
          <w:ilvl w:val="0"/>
          <w:numId w:val="1"/>
        </w:numPr>
        <w:spacing w:line="660" w:lineRule="exact"/>
        <w:rPr>
          <w:rFonts w:ascii="標楷體" w:eastAsia="標楷體" w:hAnsi="標楷體"/>
          <w:color w:val="000000"/>
          <w:sz w:val="28"/>
          <w:szCs w:val="28"/>
        </w:rPr>
      </w:pP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各縣市藥癮戒治醫療人員。</w:t>
      </w:r>
    </w:p>
    <w:p w:rsidR="00094ABB" w:rsidRPr="00D45D9C" w:rsidRDefault="00094ABB" w:rsidP="00FB3C54">
      <w:pPr>
        <w:tabs>
          <w:tab w:val="left" w:pos="4830"/>
          <w:tab w:val="left" w:pos="4998"/>
          <w:tab w:val="left" w:pos="5809"/>
          <w:tab w:val="left" w:pos="6103"/>
          <w:tab w:val="left" w:pos="6341"/>
        </w:tabs>
        <w:spacing w:line="66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（四）本市毒品危害防制中心志工。</w:t>
      </w:r>
    </w:p>
    <w:p w:rsidR="00094ABB" w:rsidRPr="00D45D9C" w:rsidRDefault="00094ABB" w:rsidP="00807B2D">
      <w:pPr>
        <w:spacing w:line="660" w:lineRule="exact"/>
        <w:ind w:leftChars="-1" w:left="31680" w:firstLineChars="128" w:firstLine="31680"/>
        <w:rPr>
          <w:rFonts w:ascii="標楷體" w:eastAsia="標楷體" w:hAnsi="標楷體"/>
          <w:color w:val="000000"/>
          <w:sz w:val="28"/>
          <w:szCs w:val="28"/>
        </w:rPr>
      </w:pPr>
      <w:r w:rsidRPr="00D45D9C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（五）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各縣市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各級學校毒品防制教職人員。</w:t>
      </w:r>
    </w:p>
    <w:p w:rsidR="00094ABB" w:rsidRPr="00D45D9C" w:rsidRDefault="00094ABB" w:rsidP="00807B2D">
      <w:pPr>
        <w:spacing w:line="660" w:lineRule="exact"/>
        <w:ind w:leftChars="-1" w:left="31680" w:firstLine="2"/>
        <w:rPr>
          <w:rFonts w:ascii="標楷體" w:eastAsia="標楷體" w:hAnsi="標楷體"/>
          <w:color w:val="000000"/>
          <w:sz w:val="28"/>
          <w:szCs w:val="28"/>
        </w:rPr>
      </w:pPr>
      <w:r w:rsidRPr="00D45D9C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 xml:space="preserve"> </w:t>
      </w:r>
      <w:r w:rsidRPr="00D45D9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七、參加人數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：估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>300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人。</w:t>
      </w:r>
    </w:p>
    <w:p w:rsidR="00094ABB" w:rsidRPr="00D45D9C" w:rsidRDefault="00094ABB" w:rsidP="00807B2D">
      <w:pPr>
        <w:spacing w:line="700" w:lineRule="exact"/>
        <w:ind w:leftChars="-1" w:left="31680" w:firstLineChars="128" w:firstLine="31680"/>
        <w:rPr>
          <w:rFonts w:ascii="標楷體" w:eastAsia="標楷體" w:hAnsi="標楷體"/>
          <w:b/>
          <w:bCs/>
          <w:color w:val="000000"/>
          <w:sz w:val="28"/>
          <w:szCs w:val="28"/>
        </w:rPr>
        <w:sectPr w:rsidR="00094ABB" w:rsidRPr="00D45D9C" w:rsidSect="00FD414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094ABB" w:rsidRPr="00D45D9C" w:rsidRDefault="00094ABB" w:rsidP="00807B2D">
      <w:pPr>
        <w:spacing w:line="700" w:lineRule="exact"/>
        <w:ind w:leftChars="-1" w:left="31680" w:firstLine="2"/>
        <w:rPr>
          <w:rFonts w:ascii="標楷體" w:eastAsia="標楷體" w:hAnsi="標楷體"/>
          <w:color w:val="000000"/>
          <w:sz w:val="28"/>
          <w:szCs w:val="28"/>
        </w:rPr>
      </w:pPr>
      <w:r w:rsidRPr="00D45D9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八、課程內容：</w:t>
      </w:r>
    </w:p>
    <w:tbl>
      <w:tblPr>
        <w:tblW w:w="10580" w:type="dxa"/>
        <w:tblInd w:w="-10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45"/>
        <w:gridCol w:w="3157"/>
        <w:gridCol w:w="5051"/>
      </w:tblGrid>
      <w:tr w:rsidR="00094ABB" w:rsidRPr="00D45D9C">
        <w:trPr>
          <w:trHeight w:val="502"/>
        </w:trPr>
        <w:tc>
          <w:tcPr>
            <w:tcW w:w="2372" w:type="dxa"/>
            <w:gridSpan w:val="2"/>
            <w:tcBorders>
              <w:top w:val="thinThickSmallGap" w:sz="18" w:space="0" w:color="auto"/>
            </w:tcBorders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時間</w:t>
            </w:r>
          </w:p>
        </w:tc>
        <w:tc>
          <w:tcPr>
            <w:tcW w:w="3157" w:type="dxa"/>
            <w:tcBorders>
              <w:top w:val="thinThickSmallGap" w:sz="18" w:space="0" w:color="auto"/>
            </w:tcBorders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課程內容</w:t>
            </w:r>
          </w:p>
        </w:tc>
        <w:tc>
          <w:tcPr>
            <w:tcW w:w="5051" w:type="dxa"/>
            <w:tcBorders>
              <w:top w:val="thinThickSmallGap" w:sz="18" w:space="0" w:color="auto"/>
            </w:tcBorders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主講人</w:t>
            </w:r>
          </w:p>
        </w:tc>
      </w:tr>
      <w:tr w:rsidR="00094ABB" w:rsidRPr="00D45D9C">
        <w:trPr>
          <w:trHeight w:val="514"/>
        </w:trPr>
        <w:tc>
          <w:tcPr>
            <w:tcW w:w="2372" w:type="dxa"/>
            <w:gridSpan w:val="2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08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30~09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8208" w:type="dxa"/>
            <w:gridSpan w:val="2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報到</w:t>
            </w:r>
          </w:p>
        </w:tc>
      </w:tr>
      <w:tr w:rsidR="00094ABB" w:rsidRPr="00D45D9C">
        <w:trPr>
          <w:trHeight w:val="554"/>
        </w:trPr>
        <w:tc>
          <w:tcPr>
            <w:tcW w:w="2372" w:type="dxa"/>
            <w:gridSpan w:val="2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09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00~09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20</w:t>
            </w:r>
          </w:p>
        </w:tc>
        <w:tc>
          <w:tcPr>
            <w:tcW w:w="3157" w:type="dxa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開幕及長官致詞</w:t>
            </w:r>
          </w:p>
        </w:tc>
        <w:tc>
          <w:tcPr>
            <w:tcW w:w="5051" w:type="dxa"/>
            <w:vAlign w:val="center"/>
          </w:tcPr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臺南市政府</w:t>
            </w:r>
            <w:r w:rsidRPr="00D45D9C">
              <w:rPr>
                <w:rFonts w:ascii="標楷體" w:eastAsia="標楷體" w:hAnsi="標楷體" w:cs="標楷體"/>
                <w:color w:val="000000"/>
              </w:rPr>
              <w:t xml:space="preserve">                    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賴清德市長</w:t>
            </w:r>
          </w:p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臺南市政府</w:t>
            </w:r>
            <w:r w:rsidRPr="00D45D9C">
              <w:rPr>
                <w:rFonts w:ascii="標楷體" w:eastAsia="標楷體" w:hAnsi="標楷體" w:cs="標楷體"/>
                <w:color w:val="000000"/>
              </w:rPr>
              <w:t xml:space="preserve">                  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顏純左副市長</w:t>
            </w:r>
          </w:p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臺南市政府衛生局</w:t>
            </w:r>
            <w:r w:rsidRPr="00D45D9C">
              <w:rPr>
                <w:rFonts w:ascii="標楷體" w:eastAsia="標楷體" w:hAnsi="標楷體" w:cs="標楷體"/>
                <w:color w:val="000000"/>
              </w:rPr>
              <w:t xml:space="preserve">              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林聖哲局長</w:t>
            </w:r>
          </w:p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衛生福利部嘉南療養院</w:t>
            </w:r>
            <w:r w:rsidRPr="00D45D9C">
              <w:rPr>
                <w:rFonts w:ascii="標楷體" w:eastAsia="標楷體" w:hAnsi="標楷體" w:cs="標楷體"/>
                <w:color w:val="000000"/>
              </w:rPr>
              <w:t xml:space="preserve">          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鄭靜明院長</w:t>
            </w:r>
          </w:p>
        </w:tc>
      </w:tr>
      <w:tr w:rsidR="00094ABB" w:rsidRPr="00D45D9C">
        <w:trPr>
          <w:trHeight w:val="759"/>
        </w:trPr>
        <w:tc>
          <w:tcPr>
            <w:tcW w:w="10580" w:type="dxa"/>
            <w:gridSpan w:val="4"/>
            <w:shd w:val="clear" w:color="auto" w:fill="D9D9D9"/>
            <w:vAlign w:val="center"/>
          </w:tcPr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主題一：青少年藥物濫用、新興毒品現況及預防模式</w:t>
            </w:r>
            <w:r w:rsidRPr="00D45D9C"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</w:t>
            </w:r>
            <w:r w:rsidRPr="003D7748">
              <w:rPr>
                <w:rFonts w:ascii="標楷體" w:eastAsia="標楷體" w:hAnsi="標楷體" w:cs="標楷體" w:hint="eastAsia"/>
                <w:bCs/>
                <w:color w:val="000000"/>
              </w:rPr>
              <w:t>主持人：</w:t>
            </w:r>
            <w:r w:rsidRPr="003D7748">
              <w:rPr>
                <w:rFonts w:ascii="標楷體" w:eastAsia="標楷體" w:hAnsi="標楷體" w:cs="標楷體" w:hint="eastAsia"/>
                <w:color w:val="000000"/>
              </w:rPr>
              <w:t>衛生福利部嘉南療養院</w:t>
            </w:r>
            <w:r w:rsidRPr="003D7748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3D7748">
              <w:rPr>
                <w:rFonts w:ascii="標楷體" w:eastAsia="標楷體" w:hAnsi="標楷體" w:cs="標楷體" w:hint="eastAsia"/>
                <w:color w:val="000000"/>
              </w:rPr>
              <w:t>鄭靜明院長</w:t>
            </w:r>
            <w:r w:rsidRPr="00D45D9C">
              <w:rPr>
                <w:rFonts w:ascii="標楷體" w:eastAsia="標楷體" w:hAnsi="標楷體" w:cs="標楷體"/>
                <w:color w:val="000000"/>
              </w:rPr>
              <w:t xml:space="preserve">                  </w:t>
            </w:r>
          </w:p>
        </w:tc>
      </w:tr>
      <w:tr w:rsidR="00094ABB" w:rsidRPr="00D45D9C">
        <w:trPr>
          <w:trHeight w:val="642"/>
        </w:trPr>
        <w:tc>
          <w:tcPr>
            <w:tcW w:w="2372" w:type="dxa"/>
            <w:gridSpan w:val="2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09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20~10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3157" w:type="dxa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現今毒品及新興毒品</w:t>
            </w:r>
          </w:p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盛行概況</w:t>
            </w:r>
          </w:p>
        </w:tc>
        <w:tc>
          <w:tcPr>
            <w:tcW w:w="5051" w:type="dxa"/>
            <w:vAlign w:val="center"/>
          </w:tcPr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臺灣臺南地方法院檢察署</w:t>
            </w:r>
            <w:r w:rsidRPr="00D45D9C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江孟芝主任檢察官</w:t>
            </w:r>
          </w:p>
        </w:tc>
      </w:tr>
      <w:tr w:rsidR="00094ABB" w:rsidRPr="00D45D9C">
        <w:trPr>
          <w:trHeight w:val="562"/>
        </w:trPr>
        <w:tc>
          <w:tcPr>
            <w:tcW w:w="2372" w:type="dxa"/>
            <w:gridSpan w:val="2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10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10~10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20</w:t>
            </w:r>
          </w:p>
        </w:tc>
        <w:tc>
          <w:tcPr>
            <w:tcW w:w="8208" w:type="dxa"/>
            <w:gridSpan w:val="2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Take a break</w:t>
            </w:r>
          </w:p>
        </w:tc>
      </w:tr>
      <w:tr w:rsidR="00094ABB" w:rsidRPr="00D45D9C">
        <w:trPr>
          <w:trHeight w:val="556"/>
        </w:trPr>
        <w:tc>
          <w:tcPr>
            <w:tcW w:w="2372" w:type="dxa"/>
            <w:gridSpan w:val="2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10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20~11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3157" w:type="dxa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青少年藥物濫用現況及處遇</w:t>
            </w:r>
          </w:p>
        </w:tc>
        <w:tc>
          <w:tcPr>
            <w:tcW w:w="5051" w:type="dxa"/>
            <w:vAlign w:val="center"/>
          </w:tcPr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衛生福利部嘉南療養院成癮暨司法精神科</w:t>
            </w:r>
            <w:r w:rsidRPr="00D45D9C"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 xml:space="preserve">                              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李俊宏主任</w:t>
            </w:r>
          </w:p>
        </w:tc>
      </w:tr>
      <w:tr w:rsidR="00094ABB" w:rsidRPr="00D45D9C">
        <w:trPr>
          <w:trHeight w:val="556"/>
        </w:trPr>
        <w:tc>
          <w:tcPr>
            <w:tcW w:w="2372" w:type="dxa"/>
            <w:gridSpan w:val="2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11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10~12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3157" w:type="dxa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青少年藥物成癮預防模式</w:t>
            </w:r>
          </w:p>
        </w:tc>
        <w:tc>
          <w:tcPr>
            <w:tcW w:w="5051" w:type="dxa"/>
            <w:vAlign w:val="center"/>
          </w:tcPr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國立中正大學犯罪防治系</w:t>
            </w:r>
            <w:r w:rsidRPr="00D45D9C"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楊士隆副校長</w:t>
            </w:r>
          </w:p>
        </w:tc>
      </w:tr>
      <w:tr w:rsidR="00094ABB" w:rsidRPr="00D45D9C">
        <w:trPr>
          <w:trHeight w:val="551"/>
        </w:trPr>
        <w:tc>
          <w:tcPr>
            <w:tcW w:w="2372" w:type="dxa"/>
            <w:gridSpan w:val="2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12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8208" w:type="dxa"/>
            <w:gridSpan w:val="2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Lunch</w:t>
            </w:r>
          </w:p>
        </w:tc>
      </w:tr>
      <w:tr w:rsidR="00094ABB" w:rsidRPr="00D45D9C">
        <w:trPr>
          <w:trHeight w:val="601"/>
        </w:trPr>
        <w:tc>
          <w:tcPr>
            <w:tcW w:w="10580" w:type="dxa"/>
            <w:gridSpan w:val="4"/>
            <w:shd w:val="clear" w:color="auto" w:fill="D9D9D9"/>
            <w:vAlign w:val="center"/>
          </w:tcPr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主題二：青少年藥癮者處遇及防制策略</w:t>
            </w:r>
            <w:r w:rsidRPr="00D45D9C"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   </w:t>
            </w:r>
            <w:r w:rsidRPr="00D45D9C">
              <w:rPr>
                <w:rFonts w:ascii="標楷體" w:eastAsia="標楷體" w:hAnsi="標楷體" w:cs="標楷體"/>
                <w:bCs/>
                <w:color w:val="000000"/>
              </w:rPr>
              <w:t xml:space="preserve"> </w:t>
            </w:r>
            <w:r w:rsidRPr="00D45D9C">
              <w:rPr>
                <w:rFonts w:ascii="標楷體" w:eastAsia="標楷體" w:hAnsi="標楷體" w:cs="標楷體" w:hint="eastAsia"/>
                <w:bCs/>
                <w:color w:val="000000"/>
              </w:rPr>
              <w:t>主持人：</w:t>
            </w:r>
            <w:r w:rsidRPr="00D45D9C">
              <w:rPr>
                <w:rFonts w:eastAsia="標楷體" w:hAnsi="標楷體" w:cs="標楷體" w:hint="eastAsia"/>
                <w:color w:val="000000"/>
              </w:rPr>
              <w:t>臺北市</w:t>
            </w:r>
            <w:r>
              <w:rPr>
                <w:rFonts w:eastAsia="標楷體" w:hAnsi="標楷體" w:cs="標楷體" w:hint="eastAsia"/>
                <w:color w:val="000000"/>
              </w:rPr>
              <w:t>立</w:t>
            </w:r>
            <w:r w:rsidRPr="00D45D9C">
              <w:rPr>
                <w:rFonts w:eastAsia="標楷體" w:hAnsi="標楷體" w:cs="標楷體" w:hint="eastAsia"/>
                <w:color w:val="000000"/>
              </w:rPr>
              <w:t>聯合醫院成癮防治科</w:t>
            </w:r>
            <w:r w:rsidRPr="00D45D9C">
              <w:rPr>
                <w:rFonts w:eastAsia="標楷體" w:hAnsi="標楷體"/>
                <w:color w:val="000000"/>
              </w:rPr>
              <w:t xml:space="preserve">   </w:t>
            </w:r>
            <w:r w:rsidRPr="00D45D9C">
              <w:rPr>
                <w:rFonts w:eastAsia="標楷體" w:hAnsi="標楷體" w:cs="標楷體" w:hint="eastAsia"/>
                <w:color w:val="000000"/>
              </w:rPr>
              <w:t>束連文主任</w:t>
            </w:r>
            <w:r w:rsidRPr="00D45D9C">
              <w:rPr>
                <w:rFonts w:eastAsia="標楷體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094ABB" w:rsidRPr="00D45D9C">
        <w:trPr>
          <w:trHeight w:val="876"/>
        </w:trPr>
        <w:tc>
          <w:tcPr>
            <w:tcW w:w="2127" w:type="dxa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13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00~13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50</w:t>
            </w:r>
          </w:p>
        </w:tc>
        <w:tc>
          <w:tcPr>
            <w:tcW w:w="3402" w:type="dxa"/>
            <w:gridSpan w:val="2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青少年藥癮者</w:t>
            </w:r>
          </w:p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衛生教育及預防宣導策略</w:t>
            </w:r>
          </w:p>
        </w:tc>
        <w:tc>
          <w:tcPr>
            <w:tcW w:w="5051" w:type="dxa"/>
            <w:vAlign w:val="center"/>
          </w:tcPr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國立臺灣師範大學健康促進與衛生教育系</w:t>
            </w:r>
            <w:r w:rsidRPr="00D45D9C"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 xml:space="preserve">                              </w:t>
            </w:r>
            <w:r w:rsidRPr="00D45D9C">
              <w:rPr>
                <w:rFonts w:ascii="標楷體" w:eastAsia="標楷體" w:hAnsi="標楷體" w:hint="eastAsia"/>
                <w:color w:val="000000"/>
              </w:rPr>
              <w:t>張鳳琴教授</w:t>
            </w:r>
            <w:r w:rsidRPr="00D45D9C">
              <w:rPr>
                <w:rFonts w:ascii="標楷體" w:eastAsia="標楷體" w:hAnsi="標楷體" w:cs="標楷體"/>
                <w:color w:val="000000"/>
              </w:rPr>
              <w:t xml:space="preserve">           </w:t>
            </w:r>
          </w:p>
        </w:tc>
      </w:tr>
      <w:tr w:rsidR="00094ABB" w:rsidRPr="00D45D9C">
        <w:trPr>
          <w:trHeight w:val="876"/>
        </w:trPr>
        <w:tc>
          <w:tcPr>
            <w:tcW w:w="2127" w:type="dxa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highlight w:val="magenta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13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50~14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40</w:t>
            </w:r>
          </w:p>
        </w:tc>
        <w:tc>
          <w:tcPr>
            <w:tcW w:w="3402" w:type="dxa"/>
            <w:gridSpan w:val="2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青少年藥癮者</w:t>
            </w:r>
          </w:p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犯罪預防處遇策略</w:t>
            </w:r>
          </w:p>
        </w:tc>
        <w:tc>
          <w:tcPr>
            <w:tcW w:w="5051" w:type="dxa"/>
            <w:vAlign w:val="center"/>
          </w:tcPr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中央警察大學行政警察學系</w:t>
            </w:r>
          </w:p>
          <w:p w:rsidR="00094ABB" w:rsidRPr="00D45D9C" w:rsidRDefault="00094ABB" w:rsidP="00DC0339">
            <w:pPr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highlight w:val="magenta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許福生教授</w:t>
            </w:r>
          </w:p>
        </w:tc>
      </w:tr>
      <w:tr w:rsidR="00094ABB" w:rsidRPr="00D45D9C">
        <w:trPr>
          <w:trHeight w:val="549"/>
        </w:trPr>
        <w:tc>
          <w:tcPr>
            <w:tcW w:w="2127" w:type="dxa"/>
            <w:vAlign w:val="center"/>
          </w:tcPr>
          <w:p w:rsidR="00094ABB" w:rsidRPr="00D45D9C" w:rsidRDefault="00094ABB" w:rsidP="00615761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14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40~14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50</w:t>
            </w:r>
          </w:p>
        </w:tc>
        <w:tc>
          <w:tcPr>
            <w:tcW w:w="8453" w:type="dxa"/>
            <w:gridSpan w:val="3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Take a break</w:t>
            </w:r>
          </w:p>
        </w:tc>
      </w:tr>
      <w:tr w:rsidR="00094ABB" w:rsidRPr="00D45D9C">
        <w:trPr>
          <w:trHeight w:val="876"/>
        </w:trPr>
        <w:tc>
          <w:tcPr>
            <w:tcW w:w="2127" w:type="dxa"/>
            <w:vAlign w:val="center"/>
          </w:tcPr>
          <w:p w:rsidR="00094ABB" w:rsidRPr="00D45D9C" w:rsidRDefault="00094ABB" w:rsidP="00615761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14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50~15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40</w:t>
            </w:r>
          </w:p>
        </w:tc>
        <w:tc>
          <w:tcPr>
            <w:tcW w:w="3402" w:type="dxa"/>
            <w:gridSpan w:val="2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香港針對氯胺酮的流行病學監察、科學研究和治療方面現況</w:t>
            </w:r>
          </w:p>
        </w:tc>
        <w:tc>
          <w:tcPr>
            <w:tcW w:w="5051" w:type="dxa"/>
            <w:vAlign w:val="center"/>
          </w:tcPr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香港衛生署毒品管理部</w:t>
            </w:r>
            <w:r w:rsidRPr="00D45D9C"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梁偉民高級醫師</w:t>
            </w:r>
          </w:p>
        </w:tc>
      </w:tr>
      <w:tr w:rsidR="00094ABB" w:rsidRPr="00D45D9C">
        <w:trPr>
          <w:trHeight w:val="876"/>
        </w:trPr>
        <w:tc>
          <w:tcPr>
            <w:tcW w:w="2127" w:type="dxa"/>
            <w:vAlign w:val="center"/>
          </w:tcPr>
          <w:p w:rsidR="00094ABB" w:rsidRPr="00D45D9C" w:rsidRDefault="00094ABB" w:rsidP="00615761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15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40~16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30</w:t>
            </w:r>
          </w:p>
        </w:tc>
        <w:tc>
          <w:tcPr>
            <w:tcW w:w="3402" w:type="dxa"/>
            <w:gridSpan w:val="2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青少年藥癮者醫療介入</w:t>
            </w:r>
          </w:p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處遇模式</w:t>
            </w:r>
          </w:p>
        </w:tc>
        <w:tc>
          <w:tcPr>
            <w:tcW w:w="5051" w:type="dxa"/>
            <w:vAlign w:val="center"/>
          </w:tcPr>
          <w:p w:rsidR="00094ABB" w:rsidRPr="00D45D9C" w:rsidRDefault="00094ABB" w:rsidP="00615761">
            <w:pPr>
              <w:spacing w:line="360" w:lineRule="exact"/>
              <w:rPr>
                <w:rFonts w:eastAsia="標楷體" w:hAnsi="標楷體"/>
                <w:color w:val="000000"/>
              </w:rPr>
            </w:pPr>
            <w:r w:rsidRPr="00D45D9C">
              <w:rPr>
                <w:rFonts w:eastAsia="標楷體" w:hAnsi="標楷體" w:cs="標楷體" w:hint="eastAsia"/>
                <w:color w:val="000000"/>
              </w:rPr>
              <w:t>臺北市</w:t>
            </w:r>
            <w:r>
              <w:rPr>
                <w:rFonts w:eastAsia="標楷體" w:hAnsi="標楷體" w:cs="標楷體" w:hint="eastAsia"/>
                <w:color w:val="000000"/>
              </w:rPr>
              <w:t>立</w:t>
            </w:r>
            <w:r w:rsidRPr="00D45D9C">
              <w:rPr>
                <w:rFonts w:eastAsia="標楷體" w:hAnsi="標楷體" w:cs="標楷體" w:hint="eastAsia"/>
                <w:color w:val="000000"/>
              </w:rPr>
              <w:t>聯合醫院成癮防治科</w:t>
            </w:r>
            <w:r>
              <w:rPr>
                <w:rFonts w:eastAsia="標楷體" w:hAnsi="標楷體"/>
                <w:color w:val="000000"/>
              </w:rPr>
              <w:t xml:space="preserve">    </w:t>
            </w:r>
            <w:r w:rsidRPr="00D45D9C">
              <w:rPr>
                <w:rFonts w:eastAsia="標楷體" w:hAnsi="標楷體" w:cs="標楷體" w:hint="eastAsia"/>
                <w:color w:val="000000"/>
              </w:rPr>
              <w:t>束連文主任</w:t>
            </w:r>
          </w:p>
        </w:tc>
      </w:tr>
      <w:tr w:rsidR="00094ABB" w:rsidRPr="00D45D9C">
        <w:trPr>
          <w:trHeight w:val="862"/>
        </w:trPr>
        <w:tc>
          <w:tcPr>
            <w:tcW w:w="2127" w:type="dxa"/>
            <w:vAlign w:val="center"/>
          </w:tcPr>
          <w:p w:rsidR="00094ABB" w:rsidRPr="00D45D9C" w:rsidRDefault="00094ABB" w:rsidP="00615761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16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30~17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3402" w:type="dxa"/>
            <w:gridSpan w:val="2"/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bCs/>
                <w:color w:val="000000"/>
              </w:rPr>
              <w:t>綜合座談</w:t>
            </w:r>
          </w:p>
        </w:tc>
        <w:tc>
          <w:tcPr>
            <w:tcW w:w="5051" w:type="dxa"/>
            <w:vAlign w:val="center"/>
          </w:tcPr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臺南市政府衛生局</w:t>
            </w:r>
            <w:r w:rsidRPr="00D45D9C">
              <w:rPr>
                <w:rFonts w:ascii="標楷體" w:eastAsia="標楷體" w:hAnsi="標楷體" w:cs="標楷體"/>
                <w:color w:val="000000"/>
              </w:rPr>
              <w:t xml:space="preserve">              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林聖哲局長</w:t>
            </w:r>
          </w:p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香港衛生署毒品管理部</w:t>
            </w:r>
            <w:r w:rsidRPr="00D45D9C"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梁偉民高級醫師</w:t>
            </w:r>
          </w:p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eastAsia="標楷體" w:hAnsi="標楷體" w:cs="標楷體" w:hint="eastAsia"/>
                <w:color w:val="000000"/>
              </w:rPr>
              <w:t>臺北市</w:t>
            </w:r>
            <w:r>
              <w:rPr>
                <w:rFonts w:eastAsia="標楷體" w:hAnsi="標楷體" w:cs="標楷體" w:hint="eastAsia"/>
                <w:color w:val="000000"/>
              </w:rPr>
              <w:t>立</w:t>
            </w:r>
            <w:r w:rsidRPr="00D45D9C">
              <w:rPr>
                <w:rFonts w:eastAsia="標楷體" w:hAnsi="標楷體" w:cs="標楷體" w:hint="eastAsia"/>
                <w:color w:val="000000"/>
              </w:rPr>
              <w:t>聯合醫院成癮防治科</w:t>
            </w:r>
            <w:r>
              <w:rPr>
                <w:rFonts w:eastAsia="標楷體" w:hAnsi="標楷體"/>
                <w:color w:val="000000"/>
              </w:rPr>
              <w:t xml:space="preserve">    </w:t>
            </w:r>
            <w:r w:rsidRPr="00D45D9C">
              <w:rPr>
                <w:rFonts w:eastAsia="標楷體" w:hAnsi="標楷體" w:cs="標楷體" w:hint="eastAsia"/>
                <w:color w:val="000000"/>
              </w:rPr>
              <w:t>束連文主任</w:t>
            </w:r>
          </w:p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衛生福利部嘉南療養院成癮暨司法精神科</w:t>
            </w:r>
            <w:r w:rsidRPr="00D45D9C"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094ABB" w:rsidRPr="00D45D9C" w:rsidRDefault="00094ABB" w:rsidP="00615761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 xml:space="preserve">                              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李俊宏主任</w:t>
            </w:r>
          </w:p>
        </w:tc>
      </w:tr>
      <w:tr w:rsidR="00094ABB" w:rsidRPr="00D45D9C">
        <w:trPr>
          <w:trHeight w:val="570"/>
        </w:trPr>
        <w:tc>
          <w:tcPr>
            <w:tcW w:w="2127" w:type="dxa"/>
            <w:tcBorders>
              <w:bottom w:val="thickThinSmallGap" w:sz="18" w:space="0" w:color="auto"/>
            </w:tcBorders>
            <w:vAlign w:val="center"/>
          </w:tcPr>
          <w:p w:rsidR="00094ABB" w:rsidRPr="00D45D9C" w:rsidRDefault="00094ABB" w:rsidP="00615761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5D9C">
              <w:rPr>
                <w:rFonts w:ascii="標楷體" w:eastAsia="標楷體" w:hAnsi="標楷體" w:cs="標楷體"/>
                <w:color w:val="000000"/>
              </w:rPr>
              <w:t>17</w:t>
            </w:r>
            <w:r w:rsidRPr="00D45D9C">
              <w:rPr>
                <w:rFonts w:ascii="標楷體" w:eastAsia="標楷體" w:hAnsi="標楷體" w:cs="標楷體" w:hint="eastAsia"/>
                <w:color w:val="000000"/>
              </w:rPr>
              <w:t>：</w:t>
            </w:r>
            <w:r w:rsidRPr="00D45D9C"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8453" w:type="dxa"/>
            <w:gridSpan w:val="3"/>
            <w:tcBorders>
              <w:bottom w:val="thickThinSmallGap" w:sz="18" w:space="0" w:color="auto"/>
            </w:tcBorders>
            <w:vAlign w:val="center"/>
          </w:tcPr>
          <w:p w:rsidR="00094ABB" w:rsidRPr="00D45D9C" w:rsidRDefault="00094ABB" w:rsidP="0061576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45D9C">
              <w:rPr>
                <w:rFonts w:ascii="標楷體" w:eastAsia="標楷體" w:hAnsi="標楷體" w:cs="標楷體" w:hint="eastAsia"/>
                <w:color w:val="000000"/>
              </w:rPr>
              <w:t>閉幕</w:t>
            </w:r>
          </w:p>
        </w:tc>
      </w:tr>
    </w:tbl>
    <w:p w:rsidR="00094ABB" w:rsidRPr="00D45D9C" w:rsidRDefault="00094ABB" w:rsidP="00FB3C54">
      <w:pPr>
        <w:spacing w:line="72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  <w:sectPr w:rsidR="00094ABB" w:rsidRPr="00D45D9C" w:rsidSect="004E124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094ABB" w:rsidRDefault="00094ABB" w:rsidP="00807B2D">
      <w:pPr>
        <w:spacing w:line="720" w:lineRule="exact"/>
        <w:ind w:leftChars="1" w:left="31680" w:hangingChars="202" w:firstLine="31680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813DFB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九、報名日期：：</w:t>
      </w:r>
      <w:r w:rsidRPr="00813DFB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一律</w:t>
      </w:r>
      <w:r w:rsidRPr="00E4508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採線上系統報名</w:t>
      </w:r>
      <w:r w:rsidRPr="00813DFB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，即日起至報名截止日期</w:t>
      </w:r>
    </w:p>
    <w:p w:rsidR="00094ABB" w:rsidRPr="00813DFB" w:rsidRDefault="00094ABB" w:rsidP="00807B2D">
      <w:pPr>
        <w:spacing w:line="720" w:lineRule="exact"/>
        <w:ind w:leftChars="234" w:left="31680" w:hanging="1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E45084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104</w:t>
      </w:r>
      <w:r w:rsidRPr="00E4508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年</w:t>
      </w:r>
      <w:r w:rsidRPr="00E45084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8</w:t>
      </w:r>
      <w:r w:rsidRPr="00E4508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月</w:t>
      </w:r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31</w:t>
      </w:r>
      <w:r w:rsidRPr="00E4508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日止</w:t>
      </w:r>
      <w:r w:rsidRPr="00813DFB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。請至報名網址</w:t>
      </w:r>
      <w:r w:rsidRPr="00813DFB">
        <w:rPr>
          <w:rFonts w:ascii="標楷體" w:eastAsia="標楷體" w:hAnsi="標楷體" w:cs="標楷體"/>
          <w:bCs/>
          <w:color w:val="000000"/>
          <w:sz w:val="28"/>
          <w:szCs w:val="28"/>
        </w:rPr>
        <w:t>http://www.beclass.com/rid=1837965559101829a118</w:t>
      </w:r>
      <w:r w:rsidRPr="00813DFB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或進入臺南市政府衛生局網站首頁</w:t>
      </w:r>
      <w:r w:rsidRPr="00813DFB">
        <w:rPr>
          <w:rFonts w:ascii="標楷體" w:eastAsia="標楷體" w:hAnsi="標楷體" w:cs="標楷體"/>
          <w:bCs/>
          <w:color w:val="000000"/>
          <w:sz w:val="28"/>
          <w:szCs w:val="28"/>
        </w:rPr>
        <w:t>/</w:t>
      </w:r>
      <w:r w:rsidRPr="00813DFB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衛生資源</w:t>
      </w:r>
      <w:r w:rsidRPr="00813DFB">
        <w:rPr>
          <w:rFonts w:ascii="標楷體" w:eastAsia="標楷體" w:hAnsi="標楷體" w:cs="標楷體"/>
          <w:bCs/>
          <w:color w:val="000000"/>
          <w:sz w:val="28"/>
          <w:szCs w:val="28"/>
        </w:rPr>
        <w:t>/</w:t>
      </w:r>
      <w:r w:rsidRPr="00813DFB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臺南市政府毒品危害防制中心</w:t>
      </w:r>
      <w:r w:rsidRPr="00813DFB">
        <w:rPr>
          <w:rFonts w:ascii="標楷體" w:eastAsia="標楷體" w:hAnsi="標楷體" w:cs="標楷體"/>
          <w:bCs/>
          <w:color w:val="000000"/>
          <w:sz w:val="28"/>
          <w:szCs w:val="28"/>
        </w:rPr>
        <w:t>/</w:t>
      </w:r>
      <w:r w:rsidRPr="00813DFB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最新消息報名系統。</w:t>
      </w:r>
    </w:p>
    <w:p w:rsidR="00094ABB" w:rsidRDefault="00094ABB" w:rsidP="00807B2D">
      <w:pPr>
        <w:spacing w:line="720" w:lineRule="exact"/>
        <w:ind w:leftChars="1" w:left="31680" w:hangingChars="202" w:firstLine="31680"/>
        <w:rPr>
          <w:rFonts w:ascii="標楷體" w:eastAsia="標楷體" w:hAnsi="標楷體" w:cs="標楷體"/>
          <w:color w:val="000000"/>
          <w:sz w:val="28"/>
          <w:szCs w:val="28"/>
        </w:rPr>
      </w:pPr>
      <w:r w:rsidRPr="00D45D9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十、</w:t>
      </w:r>
      <w:r w:rsidRPr="00D45D9C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 xml:space="preserve"> </w:t>
      </w:r>
      <w:r w:rsidRPr="00D45D9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學習時數：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全程參與者可登錄</w:t>
      </w:r>
      <w:r w:rsidRPr="00D45D9C">
        <w:rPr>
          <w:rFonts w:ascii="標楷體" w:eastAsia="標楷體" w:hAnsi="標楷體" w:cs="標楷體"/>
          <w:color w:val="000000"/>
          <w:sz w:val="28"/>
          <w:szCs w:val="28"/>
        </w:rPr>
        <w:t>7</w:t>
      </w:r>
      <w:r w:rsidRPr="00D45D9C">
        <w:rPr>
          <w:rFonts w:ascii="標楷體" w:eastAsia="標楷體" w:hAnsi="標楷體" w:cs="標楷體" w:hint="eastAsia"/>
          <w:color w:val="000000"/>
          <w:sz w:val="28"/>
          <w:szCs w:val="28"/>
        </w:rPr>
        <w:t>小時「公務人員終身學習時數」。</w:t>
      </w:r>
    </w:p>
    <w:p w:rsidR="00094ABB" w:rsidRPr="00D45D9C" w:rsidRDefault="00094ABB" w:rsidP="00FB3C54">
      <w:pPr>
        <w:tabs>
          <w:tab w:val="left" w:pos="4320"/>
        </w:tabs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十一、</w:t>
      </w:r>
      <w:r w:rsidRPr="00D45D9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交通位置圖：</w:t>
      </w:r>
    </w:p>
    <w:p w:rsidR="00094ABB" w:rsidRPr="00D45D9C" w:rsidRDefault="00094ABB" w:rsidP="00807B2D">
      <w:pPr>
        <w:spacing w:line="720" w:lineRule="exact"/>
        <w:ind w:leftChars="1" w:left="31680" w:hangingChars="202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0" o:spid="_x0000_s1026" type="#_x0000_t75" alt="嘉療位置圖.png" style="position:absolute;left:0;text-align:left;margin-left:-17.7pt;margin-top:7.2pt;width:448pt;height:370.8pt;z-index:251658240;visibility:visible">
            <v:imagedata r:id="rId7" o:title=""/>
          </v:shape>
        </w:pict>
      </w:r>
    </w:p>
    <w:p w:rsidR="00094ABB" w:rsidRDefault="00094ABB" w:rsidP="00807B2D">
      <w:pPr>
        <w:tabs>
          <w:tab w:val="left" w:pos="4320"/>
        </w:tabs>
        <w:spacing w:line="720" w:lineRule="exact"/>
        <w:ind w:left="31680" w:hangingChars="771" w:firstLine="31680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094ABB" w:rsidRPr="005356CE" w:rsidRDefault="00094ABB" w:rsidP="00FB3C54">
      <w:pPr>
        <w:rPr>
          <w:rFonts w:ascii="標楷體" w:eastAsia="標楷體" w:hAnsi="標楷體" w:cs="標楷體"/>
          <w:sz w:val="28"/>
          <w:szCs w:val="28"/>
        </w:rPr>
      </w:pPr>
    </w:p>
    <w:p w:rsidR="00094ABB" w:rsidRPr="005356CE" w:rsidRDefault="00094ABB" w:rsidP="00FB3C54">
      <w:pPr>
        <w:rPr>
          <w:rFonts w:ascii="標楷體" w:eastAsia="標楷體" w:hAnsi="標楷體" w:cs="標楷體"/>
          <w:sz w:val="28"/>
          <w:szCs w:val="28"/>
        </w:rPr>
      </w:pPr>
    </w:p>
    <w:p w:rsidR="00094ABB" w:rsidRPr="005356CE" w:rsidRDefault="00094ABB" w:rsidP="00FB3C54">
      <w:pPr>
        <w:rPr>
          <w:rFonts w:ascii="標楷體" w:eastAsia="標楷體" w:hAnsi="標楷體" w:cs="標楷體"/>
          <w:sz w:val="28"/>
          <w:szCs w:val="28"/>
        </w:rPr>
      </w:pPr>
    </w:p>
    <w:p w:rsidR="00094ABB" w:rsidRPr="005356CE" w:rsidRDefault="00094ABB" w:rsidP="00FB3C54">
      <w:pPr>
        <w:rPr>
          <w:rFonts w:ascii="標楷體" w:eastAsia="標楷體" w:hAnsi="標楷體" w:cs="標楷體"/>
          <w:sz w:val="28"/>
          <w:szCs w:val="28"/>
        </w:rPr>
      </w:pPr>
    </w:p>
    <w:p w:rsidR="00094ABB" w:rsidRPr="005356CE" w:rsidRDefault="00094ABB" w:rsidP="00FB3C54">
      <w:pPr>
        <w:rPr>
          <w:rFonts w:ascii="標楷體" w:eastAsia="標楷體" w:hAnsi="標楷體" w:cs="標楷體"/>
          <w:sz w:val="28"/>
          <w:szCs w:val="28"/>
        </w:rPr>
      </w:pPr>
    </w:p>
    <w:p w:rsidR="00094ABB" w:rsidRDefault="00094ABB" w:rsidP="00FB3C54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94ABB" w:rsidRDefault="00094ABB" w:rsidP="00FB3C54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  <w:sectPr w:rsidR="00094ABB" w:rsidSect="00B9242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094ABB" w:rsidRPr="00D45D9C" w:rsidRDefault="00094ABB" w:rsidP="00FB3C54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★交通路線說明：</w:t>
      </w:r>
    </w:p>
    <w:p w:rsidR="00094ABB" w:rsidRPr="00D45D9C" w:rsidRDefault="00094ABB" w:rsidP="00FB3C54">
      <w:pPr>
        <w:pStyle w:val="ListParagraph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搭乘台鐵：出臺南站後，於前站出口左前方處興南客運，搭乘往關廟或阿蓮方向至嘉南療養院站下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(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站對面為本院入口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870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巷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)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94ABB" w:rsidRPr="00D45D9C" w:rsidRDefault="00094ABB" w:rsidP="00FB3C54">
      <w:pPr>
        <w:pStyle w:val="ListParagraph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搭乘高鐵：出高鐵站後，搭乘興南客運接駁車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H62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奇美醫院路線至仁德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B&amp;Q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特力屋下車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(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臺南市仁德區中山路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799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號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)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此車程約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20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分鐘，繼續步行往中山路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(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臺南市方向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)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約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10~15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分鐘可抵本院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(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臺南市仁德區中山路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870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巷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80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號</w:t>
      </w:r>
      <w:r w:rsidRPr="00D45D9C">
        <w:rPr>
          <w:rFonts w:ascii="標楷體" w:eastAsia="標楷體" w:hAnsi="標楷體"/>
          <w:color w:val="000000"/>
          <w:sz w:val="28"/>
          <w:szCs w:val="28"/>
        </w:rPr>
        <w:t>)</w:t>
      </w: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94ABB" w:rsidRPr="00D45D9C" w:rsidRDefault="00094ABB" w:rsidP="00FB3C54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D45D9C">
        <w:rPr>
          <w:rFonts w:ascii="標楷體" w:eastAsia="標楷體" w:hAnsi="標楷體" w:hint="eastAsia"/>
          <w:color w:val="000000"/>
          <w:sz w:val="28"/>
          <w:szCs w:val="28"/>
        </w:rPr>
        <w:t>三、自行開車：</w:t>
      </w:r>
      <w:r w:rsidRPr="00D45D9C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tbl>
      <w:tblPr>
        <w:tblW w:w="6257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288"/>
        <w:gridCol w:w="10386"/>
      </w:tblGrid>
      <w:tr w:rsidR="00094ABB" w:rsidRPr="00D45D9C">
        <w:trPr>
          <w:trHeight w:val="68"/>
        </w:trPr>
        <w:tc>
          <w:tcPr>
            <w:tcW w:w="3883" w:type="pct"/>
            <w:gridSpan w:val="2"/>
            <w:shd w:val="clear" w:color="auto" w:fill="FFFFFF"/>
            <w:tcMar>
              <w:top w:w="0" w:type="dxa"/>
              <w:left w:w="224" w:type="dxa"/>
              <w:bottom w:w="0" w:type="dxa"/>
              <w:right w:w="0" w:type="dxa"/>
            </w:tcMar>
          </w:tcPr>
          <w:p w:rsidR="00094ABB" w:rsidRDefault="00094ABB" w:rsidP="00094ABB">
            <w:pPr>
              <w:widowControl/>
              <w:spacing w:line="440" w:lineRule="exact"/>
              <w:ind w:leftChars="165" w:left="31680" w:hangingChars="414" w:firstLine="316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南下：由中山高速公路南下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, 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至臺南仁德交流道下高速公路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, </w:t>
            </w:r>
          </w:p>
          <w:p w:rsidR="00094ABB" w:rsidRDefault="00094ABB" w:rsidP="00094ABB">
            <w:pPr>
              <w:widowControl/>
              <w:spacing w:line="440" w:lineRule="exact"/>
              <w:ind w:leftChars="400" w:left="31680" w:hangingChars="211" w:firstLine="316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右轉中山路前進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>500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公尺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見本院標誌後右轉進中山路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>870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巷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>80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號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</w:p>
          <w:p w:rsidR="00094ABB" w:rsidRPr="00D45D9C" w:rsidRDefault="00094ABB" w:rsidP="00094ABB">
            <w:pPr>
              <w:widowControl/>
              <w:spacing w:line="440" w:lineRule="exact"/>
              <w:ind w:leftChars="341" w:left="31680" w:hangingChars="262" w:firstLine="316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即可到達。</w:t>
            </w:r>
          </w:p>
          <w:p w:rsidR="00094ABB" w:rsidRDefault="00094ABB" w:rsidP="00094ABB">
            <w:pPr>
              <w:widowControl/>
              <w:spacing w:line="440" w:lineRule="exact"/>
              <w:ind w:leftChars="164" w:left="31680" w:hangingChars="415" w:firstLine="316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北上：由中山高速公路北上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, 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至臺南仁德交流道下高速公路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, 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左轉</w:t>
            </w:r>
          </w:p>
          <w:p w:rsidR="00094ABB" w:rsidRDefault="00094ABB" w:rsidP="00094ABB">
            <w:pPr>
              <w:widowControl/>
              <w:spacing w:line="440" w:lineRule="exact"/>
              <w:ind w:leftChars="398" w:left="31680" w:hangingChars="213" w:firstLine="316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中山路前進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>500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公尺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見本院標誌後右轉進中山路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>870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巷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>80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號</w:t>
            </w:r>
            <w:r w:rsidRPr="00D45D9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, </w:t>
            </w: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即</w:t>
            </w:r>
          </w:p>
          <w:p w:rsidR="00094ABB" w:rsidRPr="00D45D9C" w:rsidRDefault="00094ABB" w:rsidP="00094ABB">
            <w:pPr>
              <w:widowControl/>
              <w:spacing w:line="440" w:lineRule="exact"/>
              <w:ind w:leftChars="398" w:left="31680" w:hangingChars="213" w:firstLine="316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5D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可到達。</w:t>
            </w:r>
          </w:p>
        </w:tc>
      </w:tr>
      <w:tr w:rsidR="00094ABB" w:rsidRPr="00D45D9C"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0" w:type="dxa"/>
              <w:bottom w:w="80" w:type="dxa"/>
              <w:right w:w="0" w:type="dxa"/>
            </w:tcMar>
          </w:tcPr>
          <w:p w:rsidR="00094ABB" w:rsidRPr="00D45D9C" w:rsidRDefault="00094ABB" w:rsidP="00615761">
            <w:pPr>
              <w:widowControl/>
              <w:spacing w:line="400" w:lineRule="atLeast"/>
              <w:rPr>
                <w:rFonts w:ascii="Verdana" w:hAnsi="Verdana" w:cs="新細明體"/>
                <w:color w:val="000000"/>
                <w:kern w:val="0"/>
              </w:rPr>
            </w:pPr>
          </w:p>
        </w:tc>
        <w:tc>
          <w:tcPr>
            <w:tcW w:w="3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0" w:type="dxa"/>
              <w:bottom w:w="80" w:type="dxa"/>
              <w:right w:w="0" w:type="dxa"/>
            </w:tcMar>
          </w:tcPr>
          <w:p w:rsidR="00094ABB" w:rsidRPr="00E45084" w:rsidRDefault="00094ABB" w:rsidP="00094ABB">
            <w:pPr>
              <w:tabs>
                <w:tab w:val="left" w:pos="4320"/>
              </w:tabs>
              <w:spacing w:line="720" w:lineRule="exact"/>
              <w:ind w:left="31680" w:hangingChars="771" w:firstLine="316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094ABB" w:rsidRPr="00FB3C54" w:rsidRDefault="00094ABB" w:rsidP="005B0964">
      <w:pPr>
        <w:ind w:left="1692" w:right="600" w:hanging="1092"/>
      </w:pPr>
    </w:p>
    <w:sectPr w:rsidR="00094ABB" w:rsidRPr="00FB3C54" w:rsidSect="00B924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ABB" w:rsidRDefault="00094ABB" w:rsidP="00501B45">
      <w:r>
        <w:separator/>
      </w:r>
    </w:p>
  </w:endnote>
  <w:endnote w:type="continuationSeparator" w:id="0">
    <w:p w:rsidR="00094ABB" w:rsidRDefault="00094ABB" w:rsidP="00501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ABB" w:rsidRDefault="00094ABB" w:rsidP="00501B45">
      <w:r>
        <w:separator/>
      </w:r>
    </w:p>
  </w:footnote>
  <w:footnote w:type="continuationSeparator" w:id="0">
    <w:p w:rsidR="00094ABB" w:rsidRDefault="00094ABB" w:rsidP="00501B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21411"/>
    <w:multiLevelType w:val="hybridMultilevel"/>
    <w:tmpl w:val="8662CBFC"/>
    <w:lvl w:ilvl="0" w:tplc="4BFA388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D274F6E"/>
    <w:multiLevelType w:val="hybridMultilevel"/>
    <w:tmpl w:val="E2D24F1C"/>
    <w:lvl w:ilvl="0" w:tplc="DFAEDA3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F8E2E54"/>
    <w:multiLevelType w:val="hybridMultilevel"/>
    <w:tmpl w:val="E4DA271C"/>
    <w:lvl w:ilvl="0" w:tplc="156C47F4">
      <w:start w:val="1"/>
      <w:numFmt w:val="taiwaneseCountingThousand"/>
      <w:lvlText w:val="（%1）"/>
      <w:lvlJc w:val="left"/>
      <w:pPr>
        <w:ind w:left="1354" w:hanging="852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6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2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0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8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6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4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22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C54"/>
    <w:rsid w:val="00041AF6"/>
    <w:rsid w:val="000437EA"/>
    <w:rsid w:val="00094ABB"/>
    <w:rsid w:val="000D358B"/>
    <w:rsid w:val="000F3856"/>
    <w:rsid w:val="000F7CC0"/>
    <w:rsid w:val="001217A3"/>
    <w:rsid w:val="0012724F"/>
    <w:rsid w:val="00137B5B"/>
    <w:rsid w:val="00150E98"/>
    <w:rsid w:val="0015398F"/>
    <w:rsid w:val="001B4A39"/>
    <w:rsid w:val="001C3FE4"/>
    <w:rsid w:val="001E1627"/>
    <w:rsid w:val="001F3B2D"/>
    <w:rsid w:val="002009CB"/>
    <w:rsid w:val="00203E91"/>
    <w:rsid w:val="002344A9"/>
    <w:rsid w:val="00255FA2"/>
    <w:rsid w:val="00257183"/>
    <w:rsid w:val="002735C5"/>
    <w:rsid w:val="00283FC9"/>
    <w:rsid w:val="002C6B54"/>
    <w:rsid w:val="002D697E"/>
    <w:rsid w:val="002E1133"/>
    <w:rsid w:val="0032599A"/>
    <w:rsid w:val="00335A31"/>
    <w:rsid w:val="00337590"/>
    <w:rsid w:val="00343B29"/>
    <w:rsid w:val="0038491E"/>
    <w:rsid w:val="003D7748"/>
    <w:rsid w:val="003E6E75"/>
    <w:rsid w:val="003F158C"/>
    <w:rsid w:val="00410E77"/>
    <w:rsid w:val="00412587"/>
    <w:rsid w:val="00440DEB"/>
    <w:rsid w:val="0048075E"/>
    <w:rsid w:val="004A7EED"/>
    <w:rsid w:val="004B1E4B"/>
    <w:rsid w:val="004B67DA"/>
    <w:rsid w:val="004E1241"/>
    <w:rsid w:val="004E228C"/>
    <w:rsid w:val="00501B45"/>
    <w:rsid w:val="005353DF"/>
    <w:rsid w:val="005356CE"/>
    <w:rsid w:val="005557C2"/>
    <w:rsid w:val="005B0964"/>
    <w:rsid w:val="005C3F30"/>
    <w:rsid w:val="00614339"/>
    <w:rsid w:val="00615761"/>
    <w:rsid w:val="00631F73"/>
    <w:rsid w:val="00643CD0"/>
    <w:rsid w:val="00644007"/>
    <w:rsid w:val="00644305"/>
    <w:rsid w:val="006764B2"/>
    <w:rsid w:val="00757021"/>
    <w:rsid w:val="007B484A"/>
    <w:rsid w:val="007F4593"/>
    <w:rsid w:val="00807B2D"/>
    <w:rsid w:val="00813DFB"/>
    <w:rsid w:val="00814874"/>
    <w:rsid w:val="00822584"/>
    <w:rsid w:val="00870FF2"/>
    <w:rsid w:val="008A03F7"/>
    <w:rsid w:val="008B68F3"/>
    <w:rsid w:val="008D5C90"/>
    <w:rsid w:val="008F4659"/>
    <w:rsid w:val="009431CF"/>
    <w:rsid w:val="0095732B"/>
    <w:rsid w:val="0099504A"/>
    <w:rsid w:val="009D7FB9"/>
    <w:rsid w:val="009F5DA2"/>
    <w:rsid w:val="00A117AB"/>
    <w:rsid w:val="00A85722"/>
    <w:rsid w:val="00A86763"/>
    <w:rsid w:val="00AC3FF0"/>
    <w:rsid w:val="00B01D53"/>
    <w:rsid w:val="00B31FFE"/>
    <w:rsid w:val="00B70767"/>
    <w:rsid w:val="00B92423"/>
    <w:rsid w:val="00BA7CE9"/>
    <w:rsid w:val="00BC0CF3"/>
    <w:rsid w:val="00BD3793"/>
    <w:rsid w:val="00BE343D"/>
    <w:rsid w:val="00BF1185"/>
    <w:rsid w:val="00C03772"/>
    <w:rsid w:val="00CB75EC"/>
    <w:rsid w:val="00CD43BE"/>
    <w:rsid w:val="00D13C17"/>
    <w:rsid w:val="00D27FDB"/>
    <w:rsid w:val="00D45D9C"/>
    <w:rsid w:val="00D5401C"/>
    <w:rsid w:val="00D81682"/>
    <w:rsid w:val="00DA3587"/>
    <w:rsid w:val="00DC0339"/>
    <w:rsid w:val="00E45084"/>
    <w:rsid w:val="00E77F58"/>
    <w:rsid w:val="00E85798"/>
    <w:rsid w:val="00E86A28"/>
    <w:rsid w:val="00E901A9"/>
    <w:rsid w:val="00E92DAB"/>
    <w:rsid w:val="00E964DC"/>
    <w:rsid w:val="00EC4C3F"/>
    <w:rsid w:val="00EC62C1"/>
    <w:rsid w:val="00ED3786"/>
    <w:rsid w:val="00F00B6A"/>
    <w:rsid w:val="00F24011"/>
    <w:rsid w:val="00F43B75"/>
    <w:rsid w:val="00F8740C"/>
    <w:rsid w:val="00FB3C54"/>
    <w:rsid w:val="00FD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54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3C54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501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1B45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01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B4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296</Words>
  <Characters>1691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104年度青少年藥物濫用與新興毒品防制國際論壇</dc:title>
  <dc:subject/>
  <dc:creator>user</dc:creator>
  <cp:keywords/>
  <dc:description/>
  <cp:lastModifiedBy>user</cp:lastModifiedBy>
  <cp:revision>2</cp:revision>
  <cp:lastPrinted>2015-07-09T01:10:00Z</cp:lastPrinted>
  <dcterms:created xsi:type="dcterms:W3CDTF">2015-07-21T02:51:00Z</dcterms:created>
  <dcterms:modified xsi:type="dcterms:W3CDTF">2015-07-21T02:51:00Z</dcterms:modified>
</cp:coreProperties>
</file>