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F4" w:rsidRPr="00137EF4" w:rsidRDefault="00137EF4" w:rsidP="00137EF4">
      <w:pPr>
        <w:rPr>
          <w:b/>
          <w:sz w:val="28"/>
          <w:szCs w:val="28"/>
        </w:rPr>
      </w:pPr>
      <w:proofErr w:type="gramStart"/>
      <w:r w:rsidRPr="00137EF4">
        <w:rPr>
          <w:rFonts w:hint="eastAsia"/>
          <w:b/>
          <w:sz w:val="28"/>
          <w:szCs w:val="28"/>
        </w:rPr>
        <w:t>109</w:t>
      </w:r>
      <w:proofErr w:type="gramEnd"/>
      <w:r w:rsidRPr="00137EF4">
        <w:rPr>
          <w:rFonts w:hint="eastAsia"/>
          <w:b/>
          <w:sz w:val="28"/>
          <w:szCs w:val="28"/>
        </w:rPr>
        <w:t>年度偏遠地區防制學生藥物濫用多元</w:t>
      </w:r>
      <w:proofErr w:type="gramStart"/>
      <w:r w:rsidRPr="00137EF4">
        <w:rPr>
          <w:rFonts w:hint="eastAsia"/>
          <w:b/>
          <w:sz w:val="28"/>
          <w:szCs w:val="28"/>
        </w:rPr>
        <w:t>適</w:t>
      </w:r>
      <w:proofErr w:type="gramEnd"/>
      <w:r w:rsidRPr="00137EF4">
        <w:rPr>
          <w:rFonts w:hint="eastAsia"/>
          <w:b/>
          <w:sz w:val="28"/>
          <w:szCs w:val="28"/>
        </w:rPr>
        <w:t>性教育活動補助實施計畫補助申請案審查意見表</w:t>
      </w:r>
    </w:p>
    <w:tbl>
      <w:tblPr>
        <w:tblW w:w="13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1920"/>
        <w:gridCol w:w="3960"/>
        <w:gridCol w:w="940"/>
        <w:gridCol w:w="1400"/>
        <w:gridCol w:w="3780"/>
        <w:gridCol w:w="1280"/>
      </w:tblGrid>
      <w:tr w:rsidR="006D6F00" w:rsidRPr="00137EF4" w:rsidTr="006D6F00">
        <w:trPr>
          <w:trHeight w:val="547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6D6F0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6D6F0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申請單位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6D6F0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辦理時間及內容</w:t>
            </w:r>
            <w:bookmarkStart w:id="0" w:name="_GoBack"/>
            <w:bookmarkEnd w:id="0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6D6F00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招收人數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6D6F00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申請經費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6D6F00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初審意見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6D6F00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kern w:val="0"/>
                <w:szCs w:val="24"/>
              </w:rPr>
            </w:pPr>
            <w:r w:rsidRPr="00137EF4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審查結果</w:t>
            </w:r>
            <w:r w:rsidRPr="00137EF4">
              <w:rPr>
                <w:rFonts w:ascii="Times New Roman" w:eastAsia="新細明體" w:hAnsi="Times New Roman" w:cs="Times New Roman"/>
                <w:kern w:val="0"/>
                <w:szCs w:val="24"/>
              </w:rPr>
              <w:t>/</w:t>
            </w:r>
            <w:r w:rsidRPr="00137EF4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核准經費</w:t>
            </w:r>
          </w:p>
        </w:tc>
      </w:tr>
      <w:tr w:rsidR="006D6F00" w:rsidRPr="00137EF4" w:rsidTr="006D6F00">
        <w:trPr>
          <w:trHeight w:val="20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花蓮縣花崗國中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6D6F00">
            <w:pPr>
              <w:widowControl/>
              <w:spacing w:line="36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1.空手道</w:t>
            </w:r>
            <w:r w:rsidRPr="00137EF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：週一、週四1730-1930</w:t>
            </w:r>
            <w:r w:rsidRPr="00137EF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2.IDPA射手養成：週二、三</w:t>
            </w:r>
            <w:proofErr w:type="gramStart"/>
            <w:r w:rsidRPr="00137EF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1800</w:t>
            </w:r>
            <w:proofErr w:type="gramEnd"/>
            <w:r w:rsidRPr="00137EF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-2100</w:t>
            </w:r>
            <w:r w:rsidRPr="00137EF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3.戶外活動領導：週三1400-1600、週六0800-1700、</w:t>
            </w:r>
            <w:proofErr w:type="gramStart"/>
            <w:r w:rsidRPr="00137EF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隔宿6次</w:t>
            </w:r>
            <w:proofErr w:type="gramEnd"/>
            <w:r w:rsidRPr="00137EF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4.</w:t>
            </w:r>
            <w:proofErr w:type="gramStart"/>
            <w:r w:rsidRPr="00137EF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健球</w:t>
            </w:r>
            <w:proofErr w:type="gramEnd"/>
            <w:r w:rsidRPr="00137EF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：週五1500-1600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1,081,586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1.本年度預算不足，戶外活動領導不予補助，經費請調整。</w:t>
            </w: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br/>
              <w:t>2.請說明中正體育館租借為哪項課程。</w:t>
            </w: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br/>
              <w:t>3.空手道與射擊課程可否調為相同日期，以</w:t>
            </w:r>
            <w:proofErr w:type="gramStart"/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撙</w:t>
            </w:r>
            <w:proofErr w:type="gramEnd"/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節加班費。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37EF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6D6F00" w:rsidRPr="00137EF4" w:rsidTr="006D6F00">
        <w:trPr>
          <w:trHeight w:val="8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花蓮縣美</w:t>
            </w:r>
            <w:proofErr w:type="gramStart"/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崙</w:t>
            </w:r>
            <w:proofErr w:type="gramEnd"/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籃球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444,760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球衣屬個人用品，除低收、中低收學生外，不予補助。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37EF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6D6F00" w:rsidRPr="00137EF4" w:rsidTr="006D6F00">
        <w:trPr>
          <w:trHeight w:val="3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花蓮縣富北國中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1.拔河</w:t>
            </w:r>
            <w:r w:rsidRPr="00137EF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：108下</w:t>
            </w: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週一-週五1700-2000，109上週三-週五1800-2000</w:t>
            </w: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2.自行車修護</w:t>
            </w:r>
            <w:r w:rsidRPr="00137EF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：</w:t>
            </w: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週三、週五1700-1800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505,455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6D6F00">
            <w:pPr>
              <w:widowControl/>
              <w:spacing w:line="360" w:lineRule="exact"/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1.109上學期上課時間1800-2000為2小時，84節。</w:t>
            </w: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br/>
              <w:t>2.假日課程、1800以前課程請以日間課程鐘點費計算。</w:t>
            </w: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br/>
              <w:t>3.自行車課程僅5人參加，不需協同教師。</w:t>
            </w: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br/>
              <w:t>4.加班費單價等同協同教師費是否合理</w:t>
            </w:r>
            <w:r w:rsidRPr="00137EF4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？</w:t>
            </w: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br/>
              <w:t>5.本項補助僅有業務費，拔河機不可購買。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37EF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6D6F00" w:rsidRPr="00137EF4" w:rsidTr="006D6F00">
        <w:trPr>
          <w:trHeight w:val="1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花蓮縣新城國中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創克</w:t>
            </w:r>
            <w:proofErr w:type="gramEnd"/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、職能工藝、家電維修、球類、表演藝術</w:t>
            </w: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'週一、週四1600-1740，週五1310-1740、週六0800-1200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382,180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6D6F00">
            <w:pPr>
              <w:widowControl/>
              <w:spacing w:line="360" w:lineRule="exac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計畫內容無意見。但</w:t>
            </w:r>
            <w:r w:rsidRPr="00137EF4">
              <w:rPr>
                <w:rFonts w:ascii="新細明體" w:eastAsia="新細明體" w:hAnsi="新細明體" w:cs="新細明體" w:hint="eastAsia"/>
                <w:color w:val="4472C4"/>
                <w:kern w:val="0"/>
                <w:szCs w:val="24"/>
              </w:rPr>
              <w:t>經費表</w:t>
            </w:r>
            <w:r w:rsidRPr="00137EF4">
              <w:rPr>
                <w:rFonts w:ascii="新細明體" w:eastAsia="新細明體" w:hAnsi="新細明體" w:cs="新細明體" w:hint="eastAsia"/>
                <w:color w:val="0070C0"/>
                <w:kern w:val="0"/>
                <w:szCs w:val="24"/>
              </w:rPr>
              <w:t>鐘點費每週12節是否有誤</w:t>
            </w:r>
            <w:r w:rsidRPr="00137EF4">
              <w:rPr>
                <w:rFonts w:ascii="微軟正黑體" w:eastAsia="微軟正黑體" w:hAnsi="微軟正黑體" w:cs="新細明體" w:hint="eastAsia"/>
                <w:color w:val="0070C0"/>
                <w:kern w:val="0"/>
                <w:szCs w:val="24"/>
              </w:rPr>
              <w:t>？</w:t>
            </w:r>
            <w:r w:rsidRPr="00137EF4">
              <w:rPr>
                <w:rFonts w:ascii="新細明體" w:eastAsia="新細明體" w:hAnsi="新細明體" w:cs="新細明體" w:hint="eastAsia"/>
                <w:color w:val="0070C0"/>
                <w:kern w:val="0"/>
                <w:szCs w:val="24"/>
              </w:rPr>
              <w:t>膳費也怪怪的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37EF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382,180 </w:t>
            </w:r>
          </w:p>
        </w:tc>
      </w:tr>
      <w:tr w:rsidR="006D6F00" w:rsidRPr="00137EF4" w:rsidTr="006D6F00">
        <w:trPr>
          <w:trHeight w:val="17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花蓮縣國福國小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足球、棒球：週三1600-1800、週六、游泳：暑期10日</w:t>
            </w: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自行車、游泳、戶外探索：週三1310-1600或1310-1520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178,030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6D6F00">
            <w:pPr>
              <w:widowControl/>
              <w:spacing w:line="360" w:lineRule="exact"/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1.經費明細表鐘點費是否有誤？(與課程表加總不符，還是只需120節)</w:t>
            </w: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br/>
              <w:t>2.足球鞋襪屬個人用品，除低收、中低收學生外，不予補助。</w:t>
            </w: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br/>
              <w:t>3.租遊覽車要去哪裡</w:t>
            </w:r>
            <w:r w:rsidRPr="00137EF4">
              <w:rPr>
                <w:rFonts w:ascii="微軟正黑體" w:eastAsia="微軟正黑體" w:hAnsi="微軟正黑體" w:cs="新細明體" w:hint="eastAsia"/>
                <w:color w:val="FF0000"/>
                <w:kern w:val="0"/>
                <w:szCs w:val="24"/>
              </w:rPr>
              <w:t>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37EF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6D6F00" w:rsidRPr="00137EF4" w:rsidTr="006D6F00">
        <w:trPr>
          <w:trHeight w:val="1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花蓮縣崇德國小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週三1600-1830，週六0900-1210</w:t>
            </w: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崇德樂活健康社團</w:t>
            </w:r>
            <w:r w:rsidRPr="00137EF4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：</w:t>
            </w: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才藝、手工藝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323,800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1.參訪交通費、場地租借費不補助</w:t>
            </w:r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br/>
              <w:t>2.加班費鐘點費350元過高，10名學生已編列協同教師費，請於協同教師與加班費間擇</w:t>
            </w:r>
            <w:proofErr w:type="gramStart"/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一</w:t>
            </w:r>
            <w:proofErr w:type="gramEnd"/>
            <w:r w:rsidRPr="00137EF4">
              <w:rPr>
                <w:rFonts w:ascii="新細明體" w:eastAsia="新細明體" w:hAnsi="新細明體" w:cs="新細明體" w:hint="eastAsia"/>
                <w:color w:val="FF0000"/>
                <w:kern w:val="0"/>
                <w:szCs w:val="24"/>
              </w:rPr>
              <w:t>申請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37EF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6D6F00" w:rsidRPr="00137EF4" w:rsidTr="006D6F00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花蓮縣鳳林國中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籃球</w:t>
            </w: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br/>
              <w:t>週一-週五1600-1800、假日1400-1700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429,084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F00" w:rsidRPr="00137EF4" w:rsidRDefault="006D6F00" w:rsidP="00137EF4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球衣、練習衣、球鞋屬</w:t>
            </w:r>
            <w:proofErr w:type="gramStart"/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屬</w:t>
            </w:r>
            <w:proofErr w:type="gramEnd"/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個人用品，除低收、中低收學生外，不予補助，經費</w:t>
            </w:r>
            <w:proofErr w:type="gramStart"/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逕</w:t>
            </w:r>
            <w:proofErr w:type="gramEnd"/>
            <w:r w:rsidRPr="00137E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予刪除。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6F00" w:rsidRPr="00137EF4" w:rsidRDefault="006D6F00" w:rsidP="00137EF4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37EF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429,084 </w:t>
            </w:r>
          </w:p>
        </w:tc>
      </w:tr>
    </w:tbl>
    <w:p w:rsidR="00137EF4" w:rsidRDefault="00137EF4">
      <w:pPr>
        <w:rPr>
          <w:rFonts w:hint="eastAsia"/>
        </w:rPr>
      </w:pPr>
    </w:p>
    <w:sectPr w:rsidR="00137EF4" w:rsidSect="00137EF4">
      <w:pgSz w:w="16838" w:h="11906" w:orient="landscape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F4"/>
    <w:rsid w:val="00137EF4"/>
    <w:rsid w:val="00466FB7"/>
    <w:rsid w:val="006D6F00"/>
    <w:rsid w:val="00C9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61BB6-3FBC-40DE-97A0-72769E1F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高志璋</dc:creator>
  <cp:keywords/>
  <dc:description/>
  <cp:lastModifiedBy>高志璋</cp:lastModifiedBy>
  <cp:revision>2</cp:revision>
  <dcterms:created xsi:type="dcterms:W3CDTF">2019-09-27T01:45:00Z</dcterms:created>
  <dcterms:modified xsi:type="dcterms:W3CDTF">2019-09-27T01:48:00Z</dcterms:modified>
</cp:coreProperties>
</file>