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E9" w:rsidRDefault="00FA05EF">
      <w:pPr>
        <w:pStyle w:val="Standard"/>
        <w:widowControl/>
        <w:snapToGrid w:val="0"/>
        <w:spacing w:after="180"/>
        <w:ind w:left="-55" w:firstLine="11"/>
        <w:jc w:val="center"/>
        <w:rPr>
          <w:rFonts w:eastAsia="標楷體"/>
          <w:b/>
          <w:sz w:val="28"/>
          <w:szCs w:val="28"/>
        </w:rPr>
      </w:pPr>
      <w:bookmarkStart w:id="0" w:name="_GoBack"/>
      <w:bookmarkEnd w:id="0"/>
      <w:r>
        <w:rPr>
          <w:rFonts w:eastAsia="標楷體"/>
          <w:b/>
          <w:sz w:val="28"/>
          <w:szCs w:val="28"/>
        </w:rPr>
        <w:t>一百零七學年至一百一十一學年幼兒園基礎評鑑指標自評表</w:t>
      </w:r>
    </w:p>
    <w:tbl>
      <w:tblPr>
        <w:tblW w:w="15921" w:type="dxa"/>
        <w:jc w:val="center"/>
        <w:tblLayout w:type="fixed"/>
        <w:tblCellMar>
          <w:left w:w="10" w:type="dxa"/>
          <w:right w:w="10" w:type="dxa"/>
        </w:tblCellMar>
        <w:tblLook w:val="04A0" w:firstRow="1" w:lastRow="0" w:firstColumn="1" w:lastColumn="0" w:noHBand="0" w:noVBand="1"/>
      </w:tblPr>
      <w:tblGrid>
        <w:gridCol w:w="10905"/>
        <w:gridCol w:w="5016"/>
      </w:tblGrid>
      <w:tr w:rsidR="00131EE9">
        <w:tblPrEx>
          <w:tblCellMar>
            <w:top w:w="0" w:type="dxa"/>
            <w:bottom w:w="0" w:type="dxa"/>
          </w:tblCellMar>
        </w:tblPrEx>
        <w:trPr>
          <w:jc w:val="center"/>
        </w:trPr>
        <w:tc>
          <w:tcPr>
            <w:tcW w:w="10905" w:type="dxa"/>
            <w:tcMar>
              <w:top w:w="0" w:type="dxa"/>
              <w:left w:w="108" w:type="dxa"/>
              <w:bottom w:w="0" w:type="dxa"/>
              <w:right w:w="108" w:type="dxa"/>
            </w:tcMar>
          </w:tcPr>
          <w:p w:rsidR="00131EE9" w:rsidRDefault="00FA05EF">
            <w:pPr>
              <w:pStyle w:val="Standard"/>
              <w:widowControl/>
              <w:snapToGrid w:val="0"/>
              <w:spacing w:before="180" w:line="360" w:lineRule="auto"/>
              <w:rPr>
                <w:rFonts w:eastAsia="標楷體"/>
                <w:b/>
                <w:sz w:val="26"/>
                <w:szCs w:val="26"/>
              </w:rPr>
            </w:pPr>
            <w:r>
              <w:rPr>
                <w:rFonts w:eastAsia="標楷體"/>
                <w:b/>
                <w:sz w:val="26"/>
                <w:szCs w:val="26"/>
              </w:rPr>
              <w:t>縣</w:t>
            </w:r>
            <w:r>
              <w:rPr>
                <w:rFonts w:eastAsia="標楷體"/>
                <w:b/>
                <w:sz w:val="26"/>
                <w:szCs w:val="26"/>
              </w:rPr>
              <w:t>(</w:t>
            </w:r>
            <w:r>
              <w:rPr>
                <w:rFonts w:eastAsia="標楷體"/>
                <w:b/>
                <w:sz w:val="26"/>
                <w:szCs w:val="26"/>
              </w:rPr>
              <w:t>市</w:t>
            </w:r>
            <w:r>
              <w:rPr>
                <w:rFonts w:eastAsia="標楷體"/>
                <w:b/>
                <w:sz w:val="26"/>
                <w:szCs w:val="26"/>
              </w:rPr>
              <w:t>)</w:t>
            </w:r>
            <w:r>
              <w:rPr>
                <w:rFonts w:eastAsia="標楷體"/>
                <w:b/>
                <w:sz w:val="26"/>
                <w:szCs w:val="26"/>
              </w:rPr>
              <w:t>別：</w:t>
            </w:r>
          </w:p>
        </w:tc>
        <w:tc>
          <w:tcPr>
            <w:tcW w:w="5016" w:type="dxa"/>
            <w:tcMar>
              <w:top w:w="0" w:type="dxa"/>
              <w:left w:w="108" w:type="dxa"/>
              <w:bottom w:w="0" w:type="dxa"/>
              <w:right w:w="108" w:type="dxa"/>
            </w:tcMar>
          </w:tcPr>
          <w:p w:rsidR="00131EE9" w:rsidRDefault="00FA05EF">
            <w:pPr>
              <w:pStyle w:val="Standard"/>
              <w:widowControl/>
              <w:snapToGrid w:val="0"/>
              <w:spacing w:before="180" w:line="360" w:lineRule="auto"/>
            </w:pPr>
            <w:r>
              <w:rPr>
                <w:rFonts w:eastAsia="標楷體"/>
                <w:b/>
                <w:sz w:val="26"/>
                <w:szCs w:val="26"/>
              </w:rPr>
              <w:t>填表日期：</w:t>
            </w:r>
            <w:r>
              <w:rPr>
                <w:rFonts w:eastAsia="Times New Roman"/>
                <w:sz w:val="26"/>
                <w:szCs w:val="26"/>
              </w:rPr>
              <w:t xml:space="preserve">      </w:t>
            </w:r>
            <w:r>
              <w:rPr>
                <w:rFonts w:eastAsia="標楷體"/>
                <w:b/>
                <w:sz w:val="26"/>
                <w:szCs w:val="26"/>
              </w:rPr>
              <w:t>年</w:t>
            </w:r>
            <w:r>
              <w:rPr>
                <w:rFonts w:eastAsia="Times New Roman"/>
                <w:sz w:val="26"/>
                <w:szCs w:val="26"/>
              </w:rPr>
              <w:t xml:space="preserve">      </w:t>
            </w:r>
            <w:r>
              <w:rPr>
                <w:rFonts w:eastAsia="標楷體"/>
                <w:b/>
                <w:sz w:val="26"/>
                <w:szCs w:val="26"/>
              </w:rPr>
              <w:t>月</w:t>
            </w:r>
            <w:r>
              <w:rPr>
                <w:rFonts w:eastAsia="Times New Roman"/>
                <w:sz w:val="26"/>
                <w:szCs w:val="26"/>
              </w:rPr>
              <w:t xml:space="preserve">      </w:t>
            </w:r>
            <w:r>
              <w:rPr>
                <w:rFonts w:eastAsia="標楷體"/>
                <w:b/>
                <w:sz w:val="26"/>
                <w:szCs w:val="26"/>
              </w:rPr>
              <w:t>日</w:t>
            </w:r>
          </w:p>
        </w:tc>
      </w:tr>
      <w:tr w:rsidR="00131EE9">
        <w:tblPrEx>
          <w:tblCellMar>
            <w:top w:w="0" w:type="dxa"/>
            <w:bottom w:w="0" w:type="dxa"/>
          </w:tblCellMar>
        </w:tblPrEx>
        <w:trPr>
          <w:jc w:val="center"/>
        </w:trPr>
        <w:tc>
          <w:tcPr>
            <w:tcW w:w="10905" w:type="dxa"/>
            <w:tcMar>
              <w:top w:w="0" w:type="dxa"/>
              <w:left w:w="108" w:type="dxa"/>
              <w:bottom w:w="0" w:type="dxa"/>
              <w:right w:w="108" w:type="dxa"/>
            </w:tcMar>
          </w:tcPr>
          <w:p w:rsidR="00131EE9" w:rsidRDefault="00FA05EF">
            <w:pPr>
              <w:pStyle w:val="Standard"/>
              <w:widowControl/>
              <w:snapToGrid w:val="0"/>
              <w:spacing w:before="180" w:line="360" w:lineRule="auto"/>
              <w:rPr>
                <w:b/>
                <w:sz w:val="26"/>
                <w:szCs w:val="26"/>
              </w:rPr>
            </w:pPr>
            <w:r>
              <w:rPr>
                <w:rFonts w:eastAsia="標楷體"/>
                <w:b/>
                <w:sz w:val="26"/>
                <w:szCs w:val="26"/>
              </w:rPr>
              <w:t>園</w:t>
            </w:r>
            <w:r>
              <w:rPr>
                <w:rFonts w:eastAsia="Times New Roman"/>
                <w:b/>
                <w:sz w:val="26"/>
                <w:szCs w:val="26"/>
              </w:rPr>
              <w:t xml:space="preserve">   </w:t>
            </w:r>
            <w:r>
              <w:rPr>
                <w:rFonts w:eastAsia="標楷體"/>
                <w:b/>
                <w:sz w:val="26"/>
                <w:szCs w:val="26"/>
              </w:rPr>
              <w:t>名：</w:t>
            </w:r>
          </w:p>
        </w:tc>
        <w:tc>
          <w:tcPr>
            <w:tcW w:w="5016" w:type="dxa"/>
            <w:tcMar>
              <w:top w:w="0" w:type="dxa"/>
              <w:left w:w="108" w:type="dxa"/>
              <w:bottom w:w="0" w:type="dxa"/>
              <w:right w:w="108" w:type="dxa"/>
            </w:tcMar>
          </w:tcPr>
          <w:p w:rsidR="00131EE9" w:rsidRDefault="00FA05EF">
            <w:pPr>
              <w:pStyle w:val="Standard"/>
              <w:widowControl/>
              <w:snapToGrid w:val="0"/>
              <w:spacing w:before="180" w:line="360" w:lineRule="auto"/>
              <w:rPr>
                <w:rFonts w:ascii="標楷體" w:eastAsia="標楷體" w:hAnsi="標楷體" w:cs="標楷體"/>
                <w:b/>
                <w:sz w:val="26"/>
                <w:szCs w:val="26"/>
              </w:rPr>
            </w:pPr>
            <w:r>
              <w:rPr>
                <w:rFonts w:ascii="標楷體" w:eastAsia="標楷體" w:hAnsi="標楷體" w:cs="標楷體"/>
                <w:b/>
                <w:sz w:val="26"/>
                <w:szCs w:val="26"/>
              </w:rPr>
              <w:t>填表人：</w:t>
            </w:r>
          </w:p>
        </w:tc>
      </w:tr>
    </w:tbl>
    <w:p w:rsidR="00131EE9" w:rsidRDefault="00131EE9">
      <w:pPr>
        <w:pStyle w:val="Standard"/>
        <w:rPr>
          <w:vanish/>
        </w:rPr>
      </w:pPr>
    </w:p>
    <w:tbl>
      <w:tblPr>
        <w:tblW w:w="15344" w:type="dxa"/>
        <w:jc w:val="center"/>
        <w:tblLayout w:type="fixed"/>
        <w:tblCellMar>
          <w:left w:w="10" w:type="dxa"/>
          <w:right w:w="10" w:type="dxa"/>
        </w:tblCellMar>
        <w:tblLook w:val="04A0" w:firstRow="1" w:lastRow="0" w:firstColumn="1" w:lastColumn="0" w:noHBand="0" w:noVBand="1"/>
      </w:tblPr>
      <w:tblGrid>
        <w:gridCol w:w="863"/>
        <w:gridCol w:w="550"/>
        <w:gridCol w:w="614"/>
        <w:gridCol w:w="661"/>
        <w:gridCol w:w="3042"/>
        <w:gridCol w:w="7023"/>
        <w:gridCol w:w="494"/>
        <w:gridCol w:w="494"/>
        <w:gridCol w:w="494"/>
        <w:gridCol w:w="1109"/>
      </w:tblGrid>
      <w:tr w:rsidR="00131EE9">
        <w:tblPrEx>
          <w:tblCellMar>
            <w:top w:w="0" w:type="dxa"/>
            <w:bottom w:w="0" w:type="dxa"/>
          </w:tblCellMar>
        </w:tblPrEx>
        <w:trPr>
          <w:cantSplit/>
          <w:trHeight w:val="470"/>
          <w:tblHeader/>
          <w:jc w:val="center"/>
        </w:trPr>
        <w:tc>
          <w:tcPr>
            <w:tcW w:w="8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31EE9" w:rsidRDefault="00FA05EF">
            <w:pPr>
              <w:pStyle w:val="Standard"/>
              <w:spacing w:line="300" w:lineRule="exact"/>
              <w:jc w:val="center"/>
              <w:rPr>
                <w:rFonts w:eastAsia="標楷體"/>
                <w:b/>
                <w:sz w:val="22"/>
                <w:szCs w:val="22"/>
              </w:rPr>
            </w:pPr>
            <w:r>
              <w:rPr>
                <w:rFonts w:eastAsia="標楷體"/>
                <w:b/>
                <w:sz w:val="22"/>
                <w:szCs w:val="22"/>
              </w:rPr>
              <w:t>類別</w:t>
            </w:r>
          </w:p>
        </w:tc>
        <w:tc>
          <w:tcPr>
            <w:tcW w:w="1164"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31EE9" w:rsidRDefault="00FA05EF">
            <w:pPr>
              <w:pStyle w:val="Standard"/>
              <w:spacing w:line="300" w:lineRule="exact"/>
              <w:jc w:val="center"/>
              <w:rPr>
                <w:rFonts w:eastAsia="標楷體"/>
                <w:b/>
                <w:sz w:val="22"/>
                <w:szCs w:val="22"/>
              </w:rPr>
            </w:pPr>
            <w:r>
              <w:rPr>
                <w:rFonts w:eastAsia="標楷體"/>
                <w:b/>
                <w:sz w:val="22"/>
                <w:szCs w:val="22"/>
              </w:rPr>
              <w:t>項目</w:t>
            </w:r>
          </w:p>
        </w:tc>
        <w:tc>
          <w:tcPr>
            <w:tcW w:w="3703"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31EE9" w:rsidRDefault="00FA05EF">
            <w:pPr>
              <w:pStyle w:val="Standard"/>
              <w:spacing w:line="300" w:lineRule="exact"/>
              <w:jc w:val="center"/>
              <w:rPr>
                <w:rFonts w:eastAsia="標楷體"/>
                <w:b/>
                <w:sz w:val="22"/>
                <w:szCs w:val="22"/>
                <w:lang w:val="zh-TW"/>
              </w:rPr>
            </w:pPr>
            <w:r>
              <w:rPr>
                <w:rFonts w:eastAsia="標楷體"/>
                <w:b/>
                <w:sz w:val="22"/>
                <w:szCs w:val="22"/>
                <w:lang w:val="zh-TW"/>
              </w:rPr>
              <w:t>細項</w:t>
            </w:r>
          </w:p>
        </w:tc>
        <w:tc>
          <w:tcPr>
            <w:tcW w:w="702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31EE9" w:rsidRDefault="00FA05EF">
            <w:pPr>
              <w:pStyle w:val="Standard"/>
              <w:spacing w:line="300" w:lineRule="exact"/>
              <w:jc w:val="center"/>
              <w:rPr>
                <w:rFonts w:eastAsia="標楷體"/>
                <w:b/>
                <w:sz w:val="22"/>
                <w:szCs w:val="22"/>
              </w:rPr>
            </w:pPr>
            <w:r>
              <w:rPr>
                <w:rFonts w:eastAsia="標楷體"/>
                <w:b/>
                <w:sz w:val="22"/>
                <w:szCs w:val="22"/>
              </w:rPr>
              <w:t>評鑑方式與檢核資料</w:t>
            </w:r>
          </w:p>
        </w:tc>
        <w:tc>
          <w:tcPr>
            <w:tcW w:w="148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31EE9" w:rsidRDefault="00FA05EF">
            <w:pPr>
              <w:pStyle w:val="Standard"/>
              <w:spacing w:line="300" w:lineRule="exact"/>
              <w:jc w:val="center"/>
              <w:rPr>
                <w:rFonts w:eastAsia="標楷體"/>
                <w:b/>
                <w:sz w:val="22"/>
                <w:szCs w:val="22"/>
              </w:rPr>
            </w:pPr>
            <w:r>
              <w:rPr>
                <w:rFonts w:eastAsia="標楷體"/>
                <w:b/>
                <w:sz w:val="22"/>
                <w:szCs w:val="22"/>
              </w:rPr>
              <w:t>自評情形</w:t>
            </w:r>
          </w:p>
        </w:tc>
        <w:tc>
          <w:tcPr>
            <w:tcW w:w="11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EE9" w:rsidRDefault="00FA05EF">
            <w:pPr>
              <w:pStyle w:val="Standard"/>
              <w:spacing w:line="300" w:lineRule="exact"/>
              <w:jc w:val="center"/>
              <w:rPr>
                <w:rFonts w:eastAsia="標楷體"/>
                <w:b/>
                <w:sz w:val="22"/>
                <w:szCs w:val="22"/>
              </w:rPr>
            </w:pPr>
            <w:r>
              <w:rPr>
                <w:rFonts w:eastAsia="標楷體"/>
                <w:b/>
                <w:sz w:val="22"/>
                <w:szCs w:val="22"/>
              </w:rPr>
              <w:t>備註</w:t>
            </w:r>
          </w:p>
        </w:tc>
      </w:tr>
      <w:tr w:rsidR="00131EE9">
        <w:tblPrEx>
          <w:tblCellMar>
            <w:top w:w="0" w:type="dxa"/>
            <w:bottom w:w="0" w:type="dxa"/>
          </w:tblCellMar>
        </w:tblPrEx>
        <w:trPr>
          <w:cantSplit/>
          <w:trHeight w:val="470"/>
          <w:tblHeader/>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FA05EF">
            <w:pPr>
              <w:rPr>
                <w:rFonts w:hint="eastAsia"/>
              </w:rPr>
            </w:pPr>
          </w:p>
        </w:tc>
        <w:tc>
          <w:tcPr>
            <w:tcW w:w="1164"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FA05EF">
            <w:pPr>
              <w:rPr>
                <w:rFonts w:hint="eastAsia"/>
              </w:rPr>
            </w:pPr>
          </w:p>
        </w:tc>
        <w:tc>
          <w:tcPr>
            <w:tcW w:w="370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FA05EF">
            <w:pPr>
              <w:rPr>
                <w:rFonts w:hint="eastAsia"/>
              </w:rPr>
            </w:pPr>
          </w:p>
        </w:tc>
        <w:tc>
          <w:tcPr>
            <w:tcW w:w="702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FA05EF">
            <w:pPr>
              <w:rPr>
                <w:rFonts w:hint="eastAsia"/>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31EE9" w:rsidRDefault="00FA05EF">
            <w:pPr>
              <w:pStyle w:val="Standard"/>
              <w:spacing w:line="300" w:lineRule="exact"/>
              <w:jc w:val="center"/>
              <w:rPr>
                <w:rFonts w:eastAsia="標楷體"/>
                <w:b/>
                <w:sz w:val="20"/>
                <w:szCs w:val="20"/>
              </w:rPr>
            </w:pPr>
            <w:r>
              <w:rPr>
                <w:rFonts w:eastAsia="標楷體"/>
                <w:b/>
                <w:sz w:val="20"/>
                <w:szCs w:val="20"/>
              </w:rPr>
              <w:t>符合</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31EE9" w:rsidRDefault="00FA05EF">
            <w:pPr>
              <w:pStyle w:val="Standard"/>
              <w:spacing w:line="300" w:lineRule="exact"/>
              <w:jc w:val="center"/>
              <w:rPr>
                <w:rFonts w:eastAsia="標楷體"/>
                <w:b/>
                <w:sz w:val="20"/>
                <w:szCs w:val="20"/>
              </w:rPr>
            </w:pPr>
            <w:r>
              <w:rPr>
                <w:rFonts w:eastAsia="標楷體"/>
                <w:b/>
                <w:sz w:val="20"/>
                <w:szCs w:val="20"/>
              </w:rPr>
              <w:t>不符合</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31EE9" w:rsidRDefault="00FA05EF">
            <w:pPr>
              <w:pStyle w:val="Standard"/>
              <w:spacing w:line="300" w:lineRule="exact"/>
              <w:jc w:val="center"/>
              <w:rPr>
                <w:rFonts w:eastAsia="標楷體"/>
                <w:b/>
                <w:sz w:val="20"/>
                <w:szCs w:val="20"/>
              </w:rPr>
            </w:pPr>
            <w:r>
              <w:rPr>
                <w:rFonts w:eastAsia="標楷體"/>
                <w:b/>
                <w:sz w:val="20"/>
                <w:szCs w:val="20"/>
              </w:rPr>
              <w:t>免檢核</w:t>
            </w:r>
          </w:p>
        </w:tc>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FA05EF">
            <w:pPr>
              <w:rPr>
                <w:rFonts w:hint="eastAsia"/>
              </w:rPr>
            </w:pPr>
          </w:p>
        </w:tc>
      </w:tr>
      <w:tr w:rsidR="00131EE9">
        <w:tblPrEx>
          <w:tblCellMar>
            <w:top w:w="0" w:type="dxa"/>
            <w:bottom w:w="0" w:type="dxa"/>
          </w:tblCellMar>
        </w:tblPrEx>
        <w:trPr>
          <w:cantSplit/>
          <w:jc w:val="center"/>
        </w:trPr>
        <w:tc>
          <w:tcPr>
            <w:tcW w:w="8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ind w:left="-19" w:firstLine="22"/>
              <w:jc w:val="both"/>
              <w:rPr>
                <w:rFonts w:eastAsia="標楷體"/>
                <w:b/>
                <w:sz w:val="22"/>
              </w:rPr>
            </w:pPr>
            <w:r>
              <w:rPr>
                <w:rFonts w:eastAsia="標楷體"/>
                <w:b/>
                <w:sz w:val="22"/>
              </w:rPr>
              <w:t>1.</w:t>
            </w:r>
            <w:r>
              <w:rPr>
                <w:rFonts w:eastAsia="標楷體"/>
                <w:b/>
                <w:sz w:val="22"/>
              </w:rPr>
              <w:t>設立</w:t>
            </w:r>
            <w:r>
              <w:rPr>
                <w:rFonts w:eastAsia="標楷體"/>
                <w:b/>
                <w:sz w:val="22"/>
              </w:rPr>
              <w:br/>
            </w:r>
            <w:r>
              <w:rPr>
                <w:rFonts w:eastAsia="標楷體"/>
                <w:b/>
                <w:sz w:val="22"/>
              </w:rPr>
              <w:t>與營運</w:t>
            </w:r>
          </w:p>
        </w:tc>
        <w:tc>
          <w:tcPr>
            <w:tcW w:w="550"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1.1</w:t>
            </w:r>
          </w:p>
          <w:p w:rsidR="00131EE9" w:rsidRDefault="00131EE9">
            <w:pPr>
              <w:pStyle w:val="Standard"/>
              <w:rPr>
                <w:rFonts w:eastAsia="標楷體"/>
                <w:sz w:val="22"/>
              </w:rPr>
            </w:pPr>
          </w:p>
        </w:tc>
        <w:tc>
          <w:tcPr>
            <w:tcW w:w="614"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設立名稱</w:t>
            </w:r>
            <w:r>
              <w:rPr>
                <w:rFonts w:eastAsia="標楷體"/>
                <w:sz w:val="22"/>
              </w:rPr>
              <w:br/>
            </w:r>
            <w:r>
              <w:rPr>
                <w:rFonts w:eastAsia="標楷體"/>
                <w:sz w:val="22"/>
              </w:rPr>
              <w:t>及地址</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1.1.1</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招牌、對外銜稱及使用地址與樓層應與設立許可證書所載相符。</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37"/>
              </w:numPr>
              <w:jc w:val="both"/>
              <w:rPr>
                <w:rFonts w:eastAsia="標楷體"/>
                <w:sz w:val="22"/>
                <w:szCs w:val="22"/>
              </w:rPr>
            </w:pPr>
            <w:r>
              <w:rPr>
                <w:rFonts w:eastAsia="標楷體"/>
                <w:sz w:val="22"/>
                <w:szCs w:val="22"/>
              </w:rPr>
              <w:t>查閱設立許可證書所載名稱及使用地址與樓層。</w:t>
            </w:r>
          </w:p>
          <w:p w:rsidR="00131EE9" w:rsidRDefault="00FA05EF">
            <w:pPr>
              <w:pStyle w:val="aa"/>
              <w:numPr>
                <w:ilvl w:val="0"/>
                <w:numId w:val="19"/>
              </w:numPr>
              <w:jc w:val="both"/>
              <w:rPr>
                <w:rFonts w:eastAsia="標楷體"/>
                <w:sz w:val="22"/>
                <w:szCs w:val="22"/>
              </w:rPr>
            </w:pPr>
            <w:r>
              <w:rPr>
                <w:rFonts w:eastAsia="標楷體"/>
                <w:sz w:val="22"/>
                <w:szCs w:val="22"/>
              </w:rPr>
              <w:t>實地觀察幼兒園招牌、幼童專用車、園方網頁名稱及使用地址與樓層。</w:t>
            </w:r>
          </w:p>
          <w:p w:rsidR="00131EE9" w:rsidRDefault="00FA05EF">
            <w:pPr>
              <w:pStyle w:val="aa"/>
              <w:numPr>
                <w:ilvl w:val="0"/>
                <w:numId w:val="19"/>
              </w:numPr>
              <w:jc w:val="both"/>
              <w:rPr>
                <w:rFonts w:eastAsia="標楷體"/>
                <w:sz w:val="22"/>
                <w:szCs w:val="22"/>
              </w:rPr>
            </w:pPr>
            <w:r>
              <w:rPr>
                <w:rFonts w:eastAsia="標楷體"/>
                <w:sz w:val="22"/>
                <w:szCs w:val="22"/>
              </w:rPr>
              <w:t>未設置網頁者，網頁免檢核；未提供幼童專用車服務者，幼童專用車免檢核。</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1.2</w:t>
            </w:r>
            <w:r>
              <w:rPr>
                <w:rFonts w:eastAsia="標楷體"/>
                <w:sz w:val="22"/>
              </w:rPr>
              <w:tab/>
            </w:r>
          </w:p>
          <w:p w:rsidR="00131EE9" w:rsidRDefault="00131EE9">
            <w:pPr>
              <w:pStyle w:val="Standard"/>
              <w:rPr>
                <w:rFonts w:eastAsia="標楷體"/>
                <w:sz w:val="22"/>
              </w:rPr>
            </w:pPr>
          </w:p>
        </w:tc>
        <w:tc>
          <w:tcPr>
            <w:tcW w:w="614"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生師比例</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1.2.1</w:t>
            </w:r>
            <w:r>
              <w:rPr>
                <w:rFonts w:eastAsia="標楷體"/>
                <w:sz w:val="22"/>
              </w:rPr>
              <w:tab/>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生師比例應符合幼兒教育及照顧法之規定。</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38"/>
              </w:numPr>
              <w:jc w:val="both"/>
              <w:rPr>
                <w:rFonts w:eastAsia="標楷體"/>
                <w:sz w:val="22"/>
                <w:szCs w:val="22"/>
              </w:rPr>
            </w:pPr>
            <w:r>
              <w:rPr>
                <w:rFonts w:eastAsia="標楷體"/>
                <w:sz w:val="22"/>
                <w:szCs w:val="22"/>
              </w:rPr>
              <w:t>查閱全國幼兒園幼生管理系統之幼兒園班級人數統計表。</w:t>
            </w:r>
          </w:p>
          <w:p w:rsidR="00131EE9" w:rsidRDefault="00FA05EF">
            <w:pPr>
              <w:pStyle w:val="aa"/>
              <w:numPr>
                <w:ilvl w:val="0"/>
                <w:numId w:val="14"/>
              </w:numPr>
              <w:jc w:val="both"/>
            </w:pPr>
            <w:r>
              <w:rPr>
                <w:rFonts w:eastAsia="標楷體"/>
                <w:sz w:val="22"/>
                <w:szCs w:val="22"/>
              </w:rPr>
              <w:t>查閱全國教保資訊網填報系統之</w:t>
            </w:r>
            <w:r>
              <w:rPr>
                <w:rFonts w:eastAsia="標楷體" w:cs="標楷體"/>
                <w:sz w:val="22"/>
                <w:szCs w:val="22"/>
              </w:rPr>
              <w:t>教職員</w:t>
            </w:r>
            <w:r>
              <w:rPr>
                <w:rFonts w:eastAsia="標楷體"/>
                <w:sz w:val="22"/>
                <w:szCs w:val="22"/>
              </w:rPr>
              <w:t>清冊。</w:t>
            </w:r>
          </w:p>
          <w:p w:rsidR="00131EE9" w:rsidRDefault="00FA05EF">
            <w:pPr>
              <w:pStyle w:val="aa"/>
              <w:numPr>
                <w:ilvl w:val="0"/>
                <w:numId w:val="14"/>
              </w:numPr>
              <w:jc w:val="both"/>
              <w:rPr>
                <w:rFonts w:eastAsia="標楷體"/>
                <w:sz w:val="22"/>
                <w:szCs w:val="22"/>
              </w:rPr>
            </w:pPr>
            <w:r>
              <w:rPr>
                <w:rFonts w:eastAsia="標楷體"/>
                <w:sz w:val="22"/>
                <w:szCs w:val="22"/>
              </w:rPr>
              <w:t>實地觀察。</w:t>
            </w:r>
          </w:p>
          <w:p w:rsidR="00131EE9" w:rsidRDefault="00FA05EF">
            <w:pPr>
              <w:pStyle w:val="aa"/>
              <w:numPr>
                <w:ilvl w:val="0"/>
                <w:numId w:val="14"/>
              </w:numPr>
              <w:jc w:val="both"/>
              <w:rPr>
                <w:rFonts w:eastAsia="標楷體"/>
                <w:sz w:val="22"/>
                <w:szCs w:val="22"/>
              </w:rPr>
            </w:pPr>
            <w:r>
              <w:rPr>
                <w:rFonts w:eastAsia="標楷體"/>
                <w:sz w:val="22"/>
                <w:szCs w:val="22"/>
              </w:rPr>
              <w:t>幼兒園得提供備查公文為佐證資料。</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trHeight w:val="699"/>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1.3</w:t>
            </w:r>
          </w:p>
          <w:p w:rsidR="00131EE9" w:rsidRDefault="00131EE9">
            <w:pPr>
              <w:pStyle w:val="Standard"/>
              <w:rPr>
                <w:rFonts w:eastAsia="標楷體"/>
                <w:sz w:val="22"/>
              </w:rPr>
            </w:pPr>
          </w:p>
        </w:tc>
        <w:tc>
          <w:tcPr>
            <w:tcW w:w="614" w:type="dxa"/>
            <w:vMerge w:val="restart"/>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資訊公開</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1.3.1</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設立許可證書應懸掛於園內足資辨識之處所。</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實地觀察。</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1.3.2</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教保服務人員之學歷證書或資格證書應懸掛於園內足資辨識之處所。</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spacing w:line="300" w:lineRule="exact"/>
              <w:jc w:val="both"/>
              <w:rPr>
                <w:rFonts w:eastAsia="標楷體"/>
                <w:sz w:val="22"/>
              </w:rPr>
            </w:pPr>
            <w:r>
              <w:rPr>
                <w:rFonts w:eastAsia="標楷體"/>
                <w:sz w:val="22"/>
              </w:rPr>
              <w:t>實地觀察：</w:t>
            </w:r>
          </w:p>
          <w:p w:rsidR="00131EE9" w:rsidRDefault="00FA05EF">
            <w:pPr>
              <w:pStyle w:val="aa"/>
              <w:numPr>
                <w:ilvl w:val="0"/>
                <w:numId w:val="39"/>
              </w:numPr>
              <w:jc w:val="both"/>
              <w:rPr>
                <w:rFonts w:eastAsia="標楷體"/>
                <w:sz w:val="22"/>
                <w:szCs w:val="22"/>
              </w:rPr>
            </w:pPr>
            <w:r>
              <w:rPr>
                <w:rFonts w:eastAsia="標楷體"/>
                <w:sz w:val="22"/>
                <w:szCs w:val="22"/>
              </w:rPr>
              <w:t>教師應公開教師證書。</w:t>
            </w:r>
          </w:p>
          <w:p w:rsidR="00131EE9" w:rsidRDefault="00FA05EF">
            <w:pPr>
              <w:pStyle w:val="aa"/>
              <w:numPr>
                <w:ilvl w:val="0"/>
                <w:numId w:val="25"/>
              </w:numPr>
              <w:jc w:val="both"/>
              <w:rPr>
                <w:rFonts w:eastAsia="標楷體"/>
                <w:sz w:val="22"/>
                <w:szCs w:val="22"/>
              </w:rPr>
            </w:pPr>
            <w:r>
              <w:rPr>
                <w:rFonts w:eastAsia="標楷體"/>
                <w:sz w:val="22"/>
                <w:szCs w:val="22"/>
              </w:rPr>
              <w:t>教保員、助理教保員應公開學歷證書，公立托兒所改制之幼兒園得公開銓審文件。</w:t>
            </w:r>
          </w:p>
          <w:p w:rsidR="00131EE9" w:rsidRDefault="00FA05EF">
            <w:pPr>
              <w:pStyle w:val="aa"/>
              <w:numPr>
                <w:ilvl w:val="0"/>
                <w:numId w:val="25"/>
              </w:numPr>
              <w:jc w:val="both"/>
              <w:rPr>
                <w:rFonts w:eastAsia="標楷體"/>
                <w:sz w:val="22"/>
                <w:szCs w:val="22"/>
              </w:rPr>
            </w:pPr>
            <w:r>
              <w:rPr>
                <w:rFonts w:eastAsia="標楷體"/>
                <w:sz w:val="22"/>
                <w:szCs w:val="22"/>
              </w:rPr>
              <w:t>前開證書內個人隱私資料得採部分遮蔽方式呈現。</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ind w:left="-19" w:firstLine="22"/>
              <w:jc w:val="both"/>
              <w:rPr>
                <w:rFonts w:eastAsia="標楷體"/>
                <w:b/>
                <w:sz w:val="22"/>
              </w:rPr>
            </w:pPr>
            <w:r>
              <w:rPr>
                <w:rFonts w:eastAsia="標楷體"/>
                <w:b/>
                <w:sz w:val="22"/>
              </w:rPr>
              <w:lastRenderedPageBreak/>
              <w:t>2.</w:t>
            </w:r>
            <w:r>
              <w:rPr>
                <w:rFonts w:eastAsia="標楷體"/>
                <w:b/>
                <w:sz w:val="22"/>
              </w:rPr>
              <w:t>總務</w:t>
            </w:r>
            <w:r>
              <w:rPr>
                <w:rFonts w:eastAsia="標楷體"/>
                <w:b/>
                <w:sz w:val="22"/>
              </w:rPr>
              <w:br/>
            </w:r>
            <w:r>
              <w:rPr>
                <w:rFonts w:eastAsia="標楷體"/>
                <w:b/>
                <w:sz w:val="22"/>
              </w:rPr>
              <w:t>與財務</w:t>
            </w:r>
            <w:r>
              <w:rPr>
                <w:rFonts w:eastAsia="標楷體"/>
                <w:b/>
                <w:sz w:val="22"/>
              </w:rPr>
              <w:br/>
            </w:r>
            <w:r>
              <w:rPr>
                <w:rFonts w:eastAsia="標楷體"/>
                <w:b/>
                <w:sz w:val="22"/>
              </w:rPr>
              <w:t>管理</w:t>
            </w:r>
          </w:p>
        </w:tc>
        <w:tc>
          <w:tcPr>
            <w:tcW w:w="55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2.1</w:t>
            </w:r>
          </w:p>
          <w:p w:rsidR="00131EE9" w:rsidRDefault="00131EE9">
            <w:pPr>
              <w:pStyle w:val="Standard"/>
              <w:rPr>
                <w:rFonts w:eastAsia="標楷體"/>
                <w:sz w:val="22"/>
              </w:rPr>
            </w:pPr>
          </w:p>
        </w:tc>
        <w:tc>
          <w:tcPr>
            <w:tcW w:w="614" w:type="dxa"/>
            <w:vMerge w:val="restart"/>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收費規定</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2.1.1</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widowControl/>
              <w:jc w:val="both"/>
              <w:rPr>
                <w:rFonts w:eastAsia="標楷體"/>
                <w:sz w:val="22"/>
              </w:rPr>
            </w:pPr>
            <w:r>
              <w:rPr>
                <w:rFonts w:eastAsia="標楷體"/>
                <w:sz w:val="22"/>
              </w:rPr>
              <w:t>收退費基準及減免收費規定應於每學期開始前一個月公告，並告知家長。</w:t>
            </w:r>
          </w:p>
          <w:p w:rsidR="00131EE9" w:rsidRDefault="00131EE9">
            <w:pPr>
              <w:pStyle w:val="Standard"/>
              <w:jc w:val="both"/>
              <w:rPr>
                <w:rFonts w:eastAsia="標楷體"/>
                <w:sz w:val="22"/>
              </w:rPr>
            </w:pP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numPr>
                <w:ilvl w:val="0"/>
                <w:numId w:val="40"/>
              </w:numPr>
              <w:spacing w:line="300" w:lineRule="exact"/>
              <w:jc w:val="both"/>
              <w:rPr>
                <w:rFonts w:eastAsia="標楷體"/>
                <w:sz w:val="22"/>
              </w:rPr>
            </w:pPr>
            <w:r>
              <w:rPr>
                <w:rFonts w:eastAsia="標楷體"/>
                <w:sz w:val="22"/>
              </w:rPr>
              <w:t>查閱評鑑當學年之公告紀錄，如書面公告、園方網頁資料等。</w:t>
            </w:r>
          </w:p>
          <w:p w:rsidR="00131EE9" w:rsidRDefault="00FA05EF">
            <w:pPr>
              <w:pStyle w:val="aa"/>
              <w:numPr>
                <w:ilvl w:val="0"/>
                <w:numId w:val="9"/>
              </w:numPr>
              <w:jc w:val="both"/>
              <w:rPr>
                <w:rFonts w:eastAsia="標楷體"/>
                <w:sz w:val="22"/>
                <w:szCs w:val="22"/>
              </w:rPr>
            </w:pPr>
            <w:r>
              <w:rPr>
                <w:rFonts w:eastAsia="標楷體"/>
                <w:sz w:val="22"/>
                <w:szCs w:val="22"/>
              </w:rPr>
              <w:t>抽查評鑑當學年之通知紀錄，如親子聯絡簿、家長通知單等。</w:t>
            </w:r>
          </w:p>
          <w:p w:rsidR="00131EE9" w:rsidRDefault="00FA05EF">
            <w:pPr>
              <w:pStyle w:val="aa"/>
              <w:numPr>
                <w:ilvl w:val="0"/>
                <w:numId w:val="9"/>
              </w:numPr>
              <w:jc w:val="both"/>
              <w:rPr>
                <w:rFonts w:eastAsia="標楷體"/>
                <w:sz w:val="22"/>
                <w:szCs w:val="22"/>
              </w:rPr>
            </w:pPr>
            <w:r>
              <w:rPr>
                <w:rFonts w:eastAsia="標楷體"/>
                <w:sz w:val="22"/>
                <w:szCs w:val="22"/>
              </w:rPr>
              <w:t>每學期開始前一個月之日期計算，依幼兒教育照顧及教育法施行細則所訂日期為準，依學校型態實驗教育實施條例與公立國民小學及國民中學委託私人辦理條例辦理實驗教育之學校，其附設幼兒園得從其規定。</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2.1.2</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各項收費應列有明細，並開立收據，且未逾報送直轄市、縣</w:t>
            </w:r>
            <w:r>
              <w:rPr>
                <w:rFonts w:eastAsia="標楷體"/>
                <w:sz w:val="22"/>
              </w:rPr>
              <w:t>(</w:t>
            </w:r>
            <w:r>
              <w:rPr>
                <w:rFonts w:eastAsia="標楷體"/>
                <w:sz w:val="22"/>
              </w:rPr>
              <w:t>市</w:t>
            </w:r>
            <w:r>
              <w:rPr>
                <w:rFonts w:eastAsia="標楷體"/>
                <w:sz w:val="22"/>
              </w:rPr>
              <w:t>)</w:t>
            </w:r>
            <w:r>
              <w:rPr>
                <w:rFonts w:eastAsia="標楷體"/>
                <w:sz w:val="22"/>
              </w:rPr>
              <w:t>主管機關之數額。</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numPr>
                <w:ilvl w:val="0"/>
                <w:numId w:val="41"/>
              </w:numPr>
              <w:spacing w:line="300" w:lineRule="exact"/>
              <w:jc w:val="both"/>
              <w:rPr>
                <w:rFonts w:eastAsia="標楷體"/>
                <w:sz w:val="22"/>
              </w:rPr>
            </w:pPr>
            <w:r>
              <w:rPr>
                <w:rFonts w:eastAsia="標楷體"/>
                <w:sz w:val="22"/>
              </w:rPr>
              <w:t>抽查評鑑當學年及前一學年之收費存根。</w:t>
            </w:r>
          </w:p>
          <w:p w:rsidR="00131EE9" w:rsidRDefault="00FA05EF">
            <w:pPr>
              <w:pStyle w:val="Standard"/>
              <w:numPr>
                <w:ilvl w:val="0"/>
                <w:numId w:val="24"/>
              </w:numPr>
              <w:spacing w:line="300" w:lineRule="exact"/>
              <w:jc w:val="both"/>
              <w:rPr>
                <w:rFonts w:eastAsia="標楷體"/>
                <w:sz w:val="22"/>
              </w:rPr>
            </w:pPr>
            <w:r>
              <w:rPr>
                <w:rFonts w:eastAsia="標楷體"/>
                <w:sz w:val="22"/>
              </w:rPr>
              <w:t>公立幼兒園之收費項目、用途及數額不得逾直轄市、縣</w:t>
            </w:r>
            <w:r>
              <w:rPr>
                <w:rFonts w:eastAsia="標楷體"/>
                <w:sz w:val="22"/>
              </w:rPr>
              <w:t>(</w:t>
            </w:r>
            <w:r>
              <w:rPr>
                <w:rFonts w:eastAsia="標楷體"/>
                <w:sz w:val="22"/>
              </w:rPr>
              <w:t>市</w:t>
            </w:r>
            <w:r>
              <w:rPr>
                <w:rFonts w:eastAsia="標楷體"/>
                <w:sz w:val="22"/>
              </w:rPr>
              <w:t>)</w:t>
            </w:r>
            <w:r>
              <w:rPr>
                <w:rFonts w:eastAsia="標楷體"/>
                <w:sz w:val="22"/>
              </w:rPr>
              <w:t>主管機關所定收費規定。</w:t>
            </w:r>
          </w:p>
          <w:p w:rsidR="00131EE9" w:rsidRDefault="00FA05EF">
            <w:pPr>
              <w:pStyle w:val="Standard"/>
              <w:numPr>
                <w:ilvl w:val="0"/>
                <w:numId w:val="24"/>
              </w:numPr>
              <w:spacing w:line="300" w:lineRule="exact"/>
              <w:jc w:val="both"/>
              <w:rPr>
                <w:rFonts w:eastAsia="標楷體"/>
                <w:sz w:val="22"/>
              </w:rPr>
            </w:pPr>
            <w:r>
              <w:rPr>
                <w:rFonts w:eastAsia="標楷體"/>
                <w:sz w:val="22"/>
              </w:rPr>
              <w:t>私立幼兒園之收費項目、用途應與直轄市、縣</w:t>
            </w:r>
            <w:r>
              <w:rPr>
                <w:rFonts w:eastAsia="標楷體"/>
                <w:sz w:val="22"/>
              </w:rPr>
              <w:t>(</w:t>
            </w:r>
            <w:r>
              <w:rPr>
                <w:rFonts w:eastAsia="標楷體"/>
                <w:sz w:val="22"/>
              </w:rPr>
              <w:t>市</w:t>
            </w:r>
            <w:r>
              <w:rPr>
                <w:rFonts w:eastAsia="標楷體"/>
                <w:sz w:val="22"/>
              </w:rPr>
              <w:t>)</w:t>
            </w:r>
            <w:r>
              <w:rPr>
                <w:rFonts w:eastAsia="標楷體"/>
                <w:sz w:val="22"/>
              </w:rPr>
              <w:t>主管機關所定相符；收費數額不得逾報送直轄市、縣</w:t>
            </w:r>
            <w:r>
              <w:rPr>
                <w:rFonts w:eastAsia="標楷體"/>
                <w:sz w:val="22"/>
              </w:rPr>
              <w:t>(</w:t>
            </w:r>
            <w:r>
              <w:rPr>
                <w:rFonts w:eastAsia="標楷體"/>
                <w:sz w:val="22"/>
              </w:rPr>
              <w:t>市</w:t>
            </w:r>
            <w:r>
              <w:rPr>
                <w:rFonts w:eastAsia="標楷體"/>
                <w:sz w:val="22"/>
              </w:rPr>
              <w:t>)</w:t>
            </w:r>
            <w:r>
              <w:rPr>
                <w:rFonts w:eastAsia="標楷體"/>
                <w:sz w:val="22"/>
              </w:rPr>
              <w:t>主管機關備查資料。</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2.2</w:t>
            </w:r>
          </w:p>
          <w:p w:rsidR="00131EE9" w:rsidRDefault="00131EE9">
            <w:pPr>
              <w:pStyle w:val="Standard"/>
              <w:rPr>
                <w:rFonts w:eastAsia="標楷體"/>
                <w:sz w:val="22"/>
              </w:rPr>
            </w:pPr>
          </w:p>
        </w:tc>
        <w:tc>
          <w:tcPr>
            <w:tcW w:w="614" w:type="dxa"/>
            <w:vMerge w:val="restart"/>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環境設備</w:t>
            </w:r>
            <w:r>
              <w:rPr>
                <w:rFonts w:eastAsia="標楷體"/>
                <w:sz w:val="22"/>
              </w:rPr>
              <w:br/>
            </w:r>
            <w:r>
              <w:rPr>
                <w:rFonts w:eastAsia="標楷體"/>
                <w:sz w:val="22"/>
              </w:rPr>
              <w:t>維護</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2.2.1</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每學期應至少實施一次全園環境消毒，並留有紀錄。</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查閱評鑑當學年及前一學年之行事曆及消毒紀錄。</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2.2.2</w:t>
            </w: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每學期應至少自我檢核一次全園室內、外設施設備之安全性；對於不符安全，待修繕或汰換者，應留有處理情形之紀錄</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numPr>
                <w:ilvl w:val="0"/>
                <w:numId w:val="42"/>
              </w:numPr>
              <w:jc w:val="both"/>
              <w:rPr>
                <w:rFonts w:eastAsia="標楷體"/>
                <w:sz w:val="22"/>
              </w:rPr>
            </w:pPr>
            <w:r>
              <w:rPr>
                <w:rFonts w:eastAsia="標楷體"/>
                <w:sz w:val="22"/>
              </w:rPr>
              <w:t>全園室內、外設施設備檢核項目得由各園自行訂定；固定式遊戲設施之檢核項目，得由各園自行訂定或亦得參考衛生福利部所訂「兒童遊戲設施自主檢查表」。</w:t>
            </w:r>
          </w:p>
          <w:p w:rsidR="00131EE9" w:rsidRDefault="00FA05EF">
            <w:pPr>
              <w:pStyle w:val="Standard"/>
              <w:numPr>
                <w:ilvl w:val="0"/>
                <w:numId w:val="22"/>
              </w:numPr>
              <w:jc w:val="both"/>
              <w:rPr>
                <w:rFonts w:eastAsia="標楷體"/>
                <w:sz w:val="22"/>
              </w:rPr>
            </w:pPr>
            <w:r>
              <w:rPr>
                <w:rFonts w:eastAsia="標楷體"/>
                <w:sz w:val="22"/>
              </w:rPr>
              <w:t>檢視評鑑當學年及前一學年之行事曆及檢核紀錄。</w:t>
            </w:r>
          </w:p>
          <w:p w:rsidR="00131EE9" w:rsidRDefault="00FA05EF">
            <w:pPr>
              <w:pStyle w:val="Standard"/>
              <w:numPr>
                <w:ilvl w:val="0"/>
                <w:numId w:val="22"/>
              </w:numPr>
              <w:jc w:val="both"/>
              <w:rPr>
                <w:rFonts w:eastAsia="標楷體"/>
                <w:sz w:val="22"/>
              </w:rPr>
            </w:pPr>
            <w:r>
              <w:rPr>
                <w:rFonts w:eastAsia="標楷體"/>
                <w:sz w:val="22"/>
              </w:rPr>
              <w:t>檢核結果為待修繕或汰換者，應再檢視處理情形之紀錄。</w:t>
            </w:r>
          </w:p>
          <w:p w:rsidR="00131EE9" w:rsidRDefault="00131EE9">
            <w:pPr>
              <w:pStyle w:val="Standard"/>
              <w:ind w:left="480"/>
              <w:jc w:val="both"/>
              <w:rPr>
                <w:rFonts w:eastAsia="標楷體"/>
                <w:sz w:val="22"/>
              </w:rPr>
            </w:pPr>
          </w:p>
          <w:p w:rsidR="00131EE9" w:rsidRDefault="00131EE9">
            <w:pPr>
              <w:pStyle w:val="Standard"/>
              <w:ind w:left="480"/>
              <w:jc w:val="both"/>
              <w:rPr>
                <w:rFonts w:eastAsia="標楷體"/>
                <w:sz w:val="22"/>
              </w:rPr>
            </w:pPr>
          </w:p>
          <w:p w:rsidR="00131EE9" w:rsidRDefault="00131EE9">
            <w:pPr>
              <w:pStyle w:val="Standard"/>
              <w:ind w:left="480"/>
              <w:jc w:val="both"/>
              <w:rPr>
                <w:rFonts w:eastAsia="標楷體"/>
                <w:sz w:val="22"/>
              </w:rPr>
            </w:pPr>
          </w:p>
          <w:p w:rsidR="00131EE9" w:rsidRDefault="00131EE9">
            <w:pPr>
              <w:pStyle w:val="Standard"/>
              <w:ind w:left="480"/>
              <w:jc w:val="both"/>
              <w:rPr>
                <w:rFonts w:eastAsia="標楷體"/>
                <w:sz w:val="22"/>
              </w:rPr>
            </w:pPr>
          </w:p>
          <w:p w:rsidR="00131EE9" w:rsidRDefault="00131EE9">
            <w:pPr>
              <w:pStyle w:val="Standard"/>
              <w:ind w:left="480"/>
              <w:jc w:val="both"/>
              <w:rPr>
                <w:rFonts w:eastAsia="標楷體"/>
                <w:sz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ind w:left="-19" w:firstLine="22"/>
              <w:jc w:val="both"/>
              <w:rPr>
                <w:rFonts w:eastAsia="標楷體"/>
                <w:b/>
                <w:sz w:val="22"/>
              </w:rPr>
            </w:pPr>
            <w:r>
              <w:rPr>
                <w:rFonts w:eastAsia="標楷體"/>
                <w:b/>
                <w:sz w:val="22"/>
              </w:rPr>
              <w:lastRenderedPageBreak/>
              <w:t>3.</w:t>
            </w:r>
            <w:r>
              <w:rPr>
                <w:rFonts w:eastAsia="標楷體"/>
                <w:b/>
                <w:sz w:val="22"/>
              </w:rPr>
              <w:t>教保</w:t>
            </w:r>
            <w:r>
              <w:rPr>
                <w:rFonts w:eastAsia="標楷體"/>
                <w:b/>
                <w:sz w:val="22"/>
              </w:rPr>
              <w:br/>
            </w:r>
            <w:r>
              <w:rPr>
                <w:rFonts w:eastAsia="標楷體"/>
                <w:b/>
                <w:sz w:val="22"/>
              </w:rPr>
              <w:t>活動課</w:t>
            </w:r>
            <w:r>
              <w:rPr>
                <w:rFonts w:eastAsia="標楷體"/>
                <w:b/>
                <w:sz w:val="22"/>
              </w:rPr>
              <w:br/>
            </w:r>
            <w:r>
              <w:rPr>
                <w:rFonts w:eastAsia="標楷體"/>
                <w:b/>
                <w:sz w:val="22"/>
              </w:rPr>
              <w:t>程</w:t>
            </w:r>
          </w:p>
        </w:tc>
        <w:tc>
          <w:tcPr>
            <w:tcW w:w="55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3.1</w:t>
            </w:r>
          </w:p>
          <w:p w:rsidR="00131EE9" w:rsidRDefault="00131EE9">
            <w:pPr>
              <w:pStyle w:val="Standard"/>
              <w:rPr>
                <w:rFonts w:eastAsia="標楷體"/>
                <w:sz w:val="22"/>
              </w:rPr>
            </w:pPr>
          </w:p>
        </w:tc>
        <w:tc>
          <w:tcPr>
            <w:tcW w:w="614" w:type="dxa"/>
            <w:vMerge w:val="restart"/>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課程規劃</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3.1.1</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widowControl/>
              <w:jc w:val="both"/>
              <w:rPr>
                <w:rFonts w:eastAsia="標楷體"/>
                <w:sz w:val="22"/>
              </w:rPr>
            </w:pPr>
            <w:r>
              <w:rPr>
                <w:rFonts w:eastAsia="標楷體"/>
                <w:sz w:val="22"/>
              </w:rPr>
              <w:t>每學期應至少召開一次全園性教保活動課程發展會議。</w:t>
            </w:r>
          </w:p>
          <w:p w:rsidR="00131EE9" w:rsidRDefault="00131EE9">
            <w:pPr>
              <w:pStyle w:val="Standard"/>
              <w:jc w:val="both"/>
              <w:rPr>
                <w:rFonts w:eastAsia="標楷體"/>
                <w:sz w:val="22"/>
              </w:rPr>
            </w:pP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43"/>
              </w:numPr>
              <w:jc w:val="both"/>
              <w:rPr>
                <w:rFonts w:eastAsia="標楷體"/>
                <w:spacing w:val="-4"/>
                <w:sz w:val="22"/>
                <w:szCs w:val="22"/>
              </w:rPr>
            </w:pPr>
            <w:r>
              <w:rPr>
                <w:rFonts w:eastAsia="標楷體"/>
                <w:spacing w:val="-4"/>
                <w:sz w:val="22"/>
                <w:szCs w:val="22"/>
              </w:rPr>
              <w:t>全園性教保活動課程發展會議須獨立召開，不得併入其他會議辦理。</w:t>
            </w:r>
          </w:p>
          <w:p w:rsidR="00131EE9" w:rsidRDefault="00FA05EF">
            <w:pPr>
              <w:pStyle w:val="aa"/>
              <w:numPr>
                <w:ilvl w:val="0"/>
                <w:numId w:val="34"/>
              </w:numPr>
              <w:jc w:val="both"/>
              <w:rPr>
                <w:rFonts w:eastAsia="標楷體"/>
                <w:spacing w:val="-4"/>
                <w:sz w:val="22"/>
                <w:szCs w:val="22"/>
              </w:rPr>
            </w:pPr>
            <w:r>
              <w:rPr>
                <w:rFonts w:eastAsia="標楷體"/>
                <w:spacing w:val="-4"/>
                <w:sz w:val="22"/>
                <w:szCs w:val="22"/>
              </w:rPr>
              <w:t>查閱評鑑當學年及前一學年之會議紀錄，會議紀錄應包含研議全園性或各班級課程計畫之相關議題。</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3.1.2</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pPr>
            <w:r>
              <w:rPr>
                <w:rFonts w:eastAsia="標楷體"/>
                <w:sz w:val="22"/>
              </w:rPr>
              <w:t>各班課程應</w:t>
            </w:r>
            <w:r>
              <w:rPr>
                <w:rFonts w:eastAsia="標楷體"/>
                <w:spacing w:val="-10"/>
                <w:sz w:val="22"/>
              </w:rPr>
              <w:t>採</w:t>
            </w:r>
            <w:r>
              <w:rPr>
                <w:rFonts w:eastAsia="標楷體"/>
                <w:sz w:val="22"/>
              </w:rPr>
              <w:t>統整不分科方式進行教學。</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44"/>
              </w:numPr>
              <w:jc w:val="both"/>
            </w:pPr>
            <w:r>
              <w:rPr>
                <w:rFonts w:eastAsia="標楷體"/>
                <w:sz w:val="22"/>
                <w:szCs w:val="22"/>
              </w:rPr>
              <w:t>抽查評鑑當學年及前一學年之統整教學佐證</w:t>
            </w:r>
            <w:r>
              <w:rPr>
                <w:rFonts w:eastAsia="標楷體"/>
                <w:spacing w:val="-4"/>
                <w:sz w:val="22"/>
                <w:szCs w:val="22"/>
              </w:rPr>
              <w:t>資料內容。</w:t>
            </w:r>
          </w:p>
          <w:p w:rsidR="00131EE9" w:rsidRDefault="00FA05EF">
            <w:pPr>
              <w:pStyle w:val="aa"/>
              <w:numPr>
                <w:ilvl w:val="0"/>
                <w:numId w:val="32"/>
              </w:numPr>
              <w:jc w:val="both"/>
            </w:pPr>
            <w:r>
              <w:rPr>
                <w:rFonts w:eastAsia="標楷體"/>
                <w:spacing w:val="-4"/>
                <w:sz w:val="22"/>
                <w:szCs w:val="22"/>
              </w:rPr>
              <w:t>由幼兒園提供佐證資料，例如：作息</w:t>
            </w:r>
            <w:r>
              <w:rPr>
                <w:rFonts w:eastAsia="標楷體"/>
                <w:sz w:val="22"/>
                <w:szCs w:val="22"/>
              </w:rPr>
              <w:t>時間</w:t>
            </w:r>
            <w:r>
              <w:rPr>
                <w:rFonts w:eastAsia="標楷體"/>
                <w:spacing w:val="-4"/>
                <w:sz w:val="22"/>
                <w:szCs w:val="22"/>
              </w:rPr>
              <w:t>表、教學課程表、教學計畫、教學紀錄、親子聯絡簿、教學活動紀錄、日誌或其他。</w:t>
            </w:r>
          </w:p>
          <w:p w:rsidR="00131EE9" w:rsidRDefault="00FA05EF">
            <w:pPr>
              <w:pStyle w:val="aa"/>
              <w:numPr>
                <w:ilvl w:val="0"/>
                <w:numId w:val="32"/>
              </w:numPr>
              <w:jc w:val="both"/>
              <w:rPr>
                <w:rFonts w:eastAsia="標楷體"/>
                <w:spacing w:val="-4"/>
                <w:sz w:val="22"/>
                <w:szCs w:val="22"/>
              </w:rPr>
            </w:pPr>
            <w:r>
              <w:rPr>
                <w:rFonts w:eastAsia="標楷體"/>
                <w:spacing w:val="-4"/>
                <w:sz w:val="22"/>
                <w:szCs w:val="22"/>
              </w:rPr>
              <w:t>前項所列資料足以佐證即可，不宜全數要求。</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3.1.3</w:t>
            </w:r>
            <w:r>
              <w:rPr>
                <w:rFonts w:eastAsia="標楷體"/>
                <w:sz w:val="22"/>
              </w:rPr>
              <w:tab/>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各班課程不得進行全日、半日或分科之外語教學。</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45"/>
              </w:numPr>
              <w:jc w:val="both"/>
            </w:pPr>
            <w:r>
              <w:rPr>
                <w:rFonts w:eastAsia="標楷體"/>
                <w:sz w:val="22"/>
                <w:szCs w:val="22"/>
              </w:rPr>
              <w:t>抽查評鑑當學年及前一學年之課程規劃佐證</w:t>
            </w:r>
            <w:r>
              <w:rPr>
                <w:rFonts w:eastAsia="標楷體"/>
                <w:spacing w:val="-4"/>
                <w:sz w:val="22"/>
                <w:szCs w:val="22"/>
              </w:rPr>
              <w:t>資料內容。</w:t>
            </w:r>
          </w:p>
          <w:p w:rsidR="00131EE9" w:rsidRDefault="00FA05EF">
            <w:pPr>
              <w:pStyle w:val="aa"/>
              <w:numPr>
                <w:ilvl w:val="0"/>
                <w:numId w:val="4"/>
              </w:numPr>
              <w:jc w:val="both"/>
            </w:pPr>
            <w:r>
              <w:rPr>
                <w:rFonts w:eastAsia="標楷體"/>
                <w:spacing w:val="-4"/>
                <w:sz w:val="22"/>
                <w:szCs w:val="22"/>
              </w:rPr>
              <w:t>由幼兒園提供佐證資料，例如：如作息</w:t>
            </w:r>
            <w:r>
              <w:rPr>
                <w:rFonts w:eastAsia="標楷體"/>
                <w:sz w:val="22"/>
                <w:szCs w:val="22"/>
              </w:rPr>
              <w:t>時間</w:t>
            </w:r>
            <w:r>
              <w:rPr>
                <w:rFonts w:eastAsia="標楷體"/>
                <w:spacing w:val="-4"/>
                <w:sz w:val="22"/>
                <w:szCs w:val="22"/>
              </w:rPr>
              <w:t>表、教學課程表、教學計畫、教學紀錄、親子聯絡簿、教學活動紀錄、日誌或其他。</w:t>
            </w:r>
          </w:p>
          <w:p w:rsidR="00131EE9" w:rsidRDefault="00FA05EF">
            <w:pPr>
              <w:pStyle w:val="aa"/>
              <w:numPr>
                <w:ilvl w:val="0"/>
                <w:numId w:val="4"/>
              </w:numPr>
              <w:jc w:val="both"/>
              <w:rPr>
                <w:rFonts w:eastAsia="標楷體"/>
                <w:spacing w:val="-4"/>
                <w:sz w:val="22"/>
                <w:szCs w:val="22"/>
              </w:rPr>
            </w:pPr>
            <w:r>
              <w:rPr>
                <w:rFonts w:eastAsia="標楷體"/>
                <w:spacing w:val="-4"/>
                <w:sz w:val="22"/>
                <w:szCs w:val="22"/>
              </w:rPr>
              <w:t>前項所列資料足以佐證即可，不宜全數要求。</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3.1.4</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pPr>
            <w:r>
              <w:rPr>
                <w:rFonts w:eastAsia="標楷體"/>
                <w:sz w:val="22"/>
              </w:rPr>
              <w:t>每日應規劃</w:t>
            </w:r>
            <w:r>
              <w:rPr>
                <w:rFonts w:eastAsia="標楷體"/>
                <w:spacing w:val="-4"/>
                <w:sz w:val="22"/>
              </w:rPr>
              <w:t>連續</w:t>
            </w:r>
            <w:r>
              <w:rPr>
                <w:rFonts w:eastAsia="標楷體"/>
                <w:sz w:val="22"/>
              </w:rPr>
              <w:t>三十分鐘以上之幼兒出汗性大肌肉活動時間。</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46"/>
              </w:numPr>
              <w:jc w:val="both"/>
            </w:pPr>
            <w:r>
              <w:rPr>
                <w:rFonts w:eastAsia="標楷體"/>
                <w:sz w:val="22"/>
                <w:szCs w:val="22"/>
              </w:rPr>
              <w:t>抽查評鑑當學年及前一學年之一日作息佐證</w:t>
            </w:r>
            <w:r>
              <w:rPr>
                <w:rFonts w:eastAsia="標楷體"/>
                <w:spacing w:val="-4"/>
                <w:sz w:val="22"/>
                <w:szCs w:val="22"/>
              </w:rPr>
              <w:t>資料內容。</w:t>
            </w:r>
          </w:p>
          <w:p w:rsidR="00131EE9" w:rsidRDefault="00FA05EF">
            <w:pPr>
              <w:pStyle w:val="aa"/>
              <w:numPr>
                <w:ilvl w:val="0"/>
                <w:numId w:val="23"/>
              </w:numPr>
              <w:jc w:val="both"/>
            </w:pPr>
            <w:r>
              <w:rPr>
                <w:rFonts w:eastAsia="標楷體"/>
                <w:spacing w:val="-4"/>
                <w:sz w:val="22"/>
                <w:szCs w:val="22"/>
              </w:rPr>
              <w:t>由幼兒園提供佐證資料，例如：如作息</w:t>
            </w:r>
            <w:r>
              <w:rPr>
                <w:rFonts w:eastAsia="標楷體"/>
                <w:sz w:val="22"/>
                <w:szCs w:val="22"/>
              </w:rPr>
              <w:t>時間</w:t>
            </w:r>
            <w:r>
              <w:rPr>
                <w:rFonts w:eastAsia="標楷體"/>
                <w:spacing w:val="-4"/>
                <w:sz w:val="22"/>
                <w:szCs w:val="22"/>
              </w:rPr>
              <w:t>表、教學課程表、教學計畫、教學紀錄、親子聯絡簿、教學活動紀錄、日誌或其他。</w:t>
            </w:r>
          </w:p>
          <w:p w:rsidR="00131EE9" w:rsidRDefault="00FA05EF">
            <w:pPr>
              <w:pStyle w:val="aa"/>
              <w:numPr>
                <w:ilvl w:val="0"/>
                <w:numId w:val="23"/>
              </w:numPr>
              <w:jc w:val="both"/>
              <w:rPr>
                <w:rFonts w:eastAsia="標楷體"/>
                <w:spacing w:val="-4"/>
                <w:sz w:val="22"/>
                <w:szCs w:val="22"/>
              </w:rPr>
            </w:pPr>
            <w:r>
              <w:rPr>
                <w:rFonts w:eastAsia="標楷體"/>
                <w:spacing w:val="-4"/>
                <w:sz w:val="22"/>
                <w:szCs w:val="22"/>
              </w:rPr>
              <w:t>前項所列資料足以佐證即可，不宜全數要求。</w:t>
            </w:r>
          </w:p>
          <w:p w:rsidR="00131EE9" w:rsidRDefault="00FA05EF">
            <w:pPr>
              <w:pStyle w:val="aa"/>
              <w:numPr>
                <w:ilvl w:val="0"/>
                <w:numId w:val="23"/>
              </w:numPr>
              <w:jc w:val="both"/>
              <w:rPr>
                <w:rFonts w:eastAsia="標楷體"/>
                <w:spacing w:val="-4"/>
                <w:sz w:val="22"/>
                <w:szCs w:val="22"/>
              </w:rPr>
            </w:pPr>
            <w:r>
              <w:rPr>
                <w:rFonts w:eastAsia="標楷體"/>
                <w:spacing w:val="-4"/>
                <w:sz w:val="22"/>
                <w:szCs w:val="22"/>
              </w:rPr>
              <w:t>安排時間範圍應於上午</w:t>
            </w:r>
            <w:r>
              <w:rPr>
                <w:rFonts w:eastAsia="標楷體"/>
                <w:spacing w:val="-4"/>
                <w:sz w:val="22"/>
                <w:szCs w:val="22"/>
              </w:rPr>
              <w:t>8</w:t>
            </w:r>
            <w:r>
              <w:rPr>
                <w:rFonts w:eastAsia="標楷體"/>
                <w:spacing w:val="-4"/>
                <w:sz w:val="22"/>
                <w:szCs w:val="22"/>
              </w:rPr>
              <w:t>時至下午</w:t>
            </w:r>
            <w:r>
              <w:rPr>
                <w:rFonts w:eastAsia="標楷體"/>
                <w:spacing w:val="-4"/>
                <w:sz w:val="22"/>
                <w:szCs w:val="22"/>
              </w:rPr>
              <w:t>4</w:t>
            </w:r>
            <w:r>
              <w:rPr>
                <w:rFonts w:eastAsia="標楷體"/>
                <w:spacing w:val="-4"/>
                <w:sz w:val="22"/>
                <w:szCs w:val="22"/>
              </w:rPr>
              <w:t>時之間。</w:t>
            </w:r>
          </w:p>
          <w:p w:rsidR="00131EE9" w:rsidRDefault="00131EE9">
            <w:pPr>
              <w:pStyle w:val="Standard"/>
              <w:jc w:val="both"/>
              <w:rPr>
                <w:rFonts w:eastAsia="標楷體"/>
                <w:spacing w:val="-4"/>
                <w:sz w:val="22"/>
                <w:szCs w:val="22"/>
              </w:rPr>
            </w:pPr>
          </w:p>
          <w:p w:rsidR="00131EE9" w:rsidRDefault="00131EE9">
            <w:pPr>
              <w:pStyle w:val="Standard"/>
              <w:jc w:val="both"/>
              <w:rPr>
                <w:rFonts w:eastAsia="標楷體"/>
                <w:spacing w:val="-4"/>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pacing w:val="-4"/>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3.2</w:t>
            </w:r>
          </w:p>
          <w:p w:rsidR="00131EE9" w:rsidRDefault="00131EE9">
            <w:pPr>
              <w:pStyle w:val="Standard"/>
              <w:rPr>
                <w:rFonts w:eastAsia="標楷體"/>
                <w:sz w:val="22"/>
              </w:rPr>
            </w:pPr>
          </w:p>
        </w:tc>
        <w:tc>
          <w:tcPr>
            <w:tcW w:w="614"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幼兒發展</w:t>
            </w:r>
            <w:r>
              <w:rPr>
                <w:rFonts w:eastAsia="標楷體"/>
                <w:sz w:val="22"/>
              </w:rPr>
              <w:br/>
            </w:r>
            <w:r>
              <w:rPr>
                <w:rFonts w:eastAsia="標楷體"/>
                <w:sz w:val="22"/>
              </w:rPr>
              <w:t>篩檢</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3.2.1</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每學年應對全園幼兒實施發展篩檢，並對疑似發展遲緩幼兒，留有處理紀錄。</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47"/>
              </w:numPr>
              <w:jc w:val="both"/>
              <w:rPr>
                <w:rFonts w:eastAsia="標楷體"/>
                <w:sz w:val="22"/>
                <w:szCs w:val="22"/>
              </w:rPr>
            </w:pPr>
            <w:r>
              <w:rPr>
                <w:rFonts w:eastAsia="標楷體"/>
                <w:sz w:val="22"/>
                <w:szCs w:val="22"/>
              </w:rPr>
              <w:t>篩檢項目得採用各直轄市、縣</w:t>
            </w:r>
            <w:r>
              <w:rPr>
                <w:rFonts w:eastAsia="標楷體"/>
                <w:sz w:val="22"/>
                <w:szCs w:val="22"/>
              </w:rPr>
              <w:t>(</w:t>
            </w:r>
            <w:r>
              <w:rPr>
                <w:rFonts w:eastAsia="標楷體"/>
                <w:sz w:val="22"/>
                <w:szCs w:val="22"/>
              </w:rPr>
              <w:t>市</w:t>
            </w:r>
            <w:r>
              <w:rPr>
                <w:rFonts w:eastAsia="標楷體"/>
                <w:sz w:val="22"/>
                <w:szCs w:val="22"/>
              </w:rPr>
              <w:t>)</w:t>
            </w:r>
            <w:r>
              <w:rPr>
                <w:rFonts w:eastAsia="標楷體"/>
                <w:sz w:val="22"/>
                <w:szCs w:val="22"/>
              </w:rPr>
              <w:t>主管衛生機關或其他單位所定項目，或由各園自行訂定。</w:t>
            </w:r>
          </w:p>
          <w:p w:rsidR="00131EE9" w:rsidRDefault="00FA05EF">
            <w:pPr>
              <w:pStyle w:val="aa"/>
              <w:numPr>
                <w:ilvl w:val="0"/>
                <w:numId w:val="36"/>
              </w:numPr>
              <w:jc w:val="both"/>
              <w:rPr>
                <w:rFonts w:eastAsia="標楷體"/>
                <w:sz w:val="22"/>
                <w:szCs w:val="22"/>
              </w:rPr>
            </w:pPr>
            <w:r>
              <w:rPr>
                <w:rFonts w:eastAsia="標楷體"/>
                <w:sz w:val="22"/>
                <w:szCs w:val="22"/>
              </w:rPr>
              <w:t>抽查評鑑當學年及前一學年之發展篩檢紀錄。</w:t>
            </w:r>
          </w:p>
          <w:p w:rsidR="00131EE9" w:rsidRDefault="00FA05EF">
            <w:pPr>
              <w:pStyle w:val="aa"/>
              <w:numPr>
                <w:ilvl w:val="0"/>
                <w:numId w:val="36"/>
              </w:numPr>
              <w:jc w:val="both"/>
              <w:rPr>
                <w:rFonts w:eastAsia="標楷體"/>
                <w:sz w:val="22"/>
                <w:szCs w:val="22"/>
              </w:rPr>
            </w:pPr>
            <w:r>
              <w:rPr>
                <w:rFonts w:eastAsia="標楷體"/>
                <w:sz w:val="22"/>
                <w:szCs w:val="22"/>
              </w:rPr>
              <w:t>查閱發展篩檢結果為疑似遲緩者之處理紀錄。</w:t>
            </w:r>
          </w:p>
          <w:p w:rsidR="00131EE9" w:rsidRDefault="00FA05EF">
            <w:pPr>
              <w:pStyle w:val="aa"/>
              <w:numPr>
                <w:ilvl w:val="0"/>
                <w:numId w:val="36"/>
              </w:numPr>
              <w:jc w:val="both"/>
              <w:rPr>
                <w:rFonts w:eastAsia="標楷體"/>
                <w:sz w:val="22"/>
                <w:szCs w:val="22"/>
              </w:rPr>
            </w:pPr>
            <w:r>
              <w:rPr>
                <w:rFonts w:eastAsia="標楷體"/>
                <w:sz w:val="22"/>
                <w:szCs w:val="22"/>
              </w:rPr>
              <w:t>園內具有身心障礙或發展遲緩證明文件之幼兒，免檢核該生此項資料。</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3.3</w:t>
            </w:r>
          </w:p>
          <w:p w:rsidR="00131EE9" w:rsidRDefault="00131EE9">
            <w:pPr>
              <w:pStyle w:val="Standard"/>
              <w:rPr>
                <w:rFonts w:eastAsia="標楷體"/>
                <w:sz w:val="22"/>
              </w:rPr>
            </w:pPr>
          </w:p>
        </w:tc>
        <w:tc>
          <w:tcPr>
            <w:tcW w:w="614" w:type="dxa"/>
            <w:vMerge w:val="restart"/>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活動室環</w:t>
            </w:r>
            <w:r>
              <w:rPr>
                <w:rFonts w:eastAsia="標楷體"/>
                <w:sz w:val="22"/>
              </w:rPr>
              <w:br/>
            </w:r>
            <w:r>
              <w:rPr>
                <w:rFonts w:eastAsia="標楷體"/>
                <w:sz w:val="22"/>
              </w:rPr>
              <w:t>境</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3.3.1</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活動室之桌面照度應至少三百五十勒克斯</w:t>
            </w:r>
            <w:r>
              <w:rPr>
                <w:rFonts w:eastAsia="標楷體"/>
                <w:sz w:val="22"/>
              </w:rPr>
              <w:t>(lux)</w:t>
            </w:r>
            <w:r>
              <w:rPr>
                <w:rFonts w:eastAsia="標楷體"/>
                <w:sz w:val="22"/>
              </w:rPr>
              <w:t>以上，黑板照度應至少五百勒克斯</w:t>
            </w:r>
            <w:r>
              <w:rPr>
                <w:rFonts w:eastAsia="標楷體"/>
                <w:sz w:val="22"/>
              </w:rPr>
              <w:t>(lux)</w:t>
            </w:r>
            <w:r>
              <w:rPr>
                <w:rFonts w:eastAsia="標楷體"/>
                <w:sz w:val="22"/>
              </w:rPr>
              <w:t>以上。</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48"/>
              </w:numPr>
              <w:jc w:val="both"/>
              <w:rPr>
                <w:rFonts w:eastAsia="標楷體"/>
                <w:sz w:val="22"/>
                <w:szCs w:val="22"/>
              </w:rPr>
            </w:pPr>
            <w:r>
              <w:rPr>
                <w:rFonts w:eastAsia="標楷體"/>
                <w:sz w:val="22"/>
                <w:szCs w:val="22"/>
              </w:rPr>
              <w:t>實地觀察及量測。</w:t>
            </w:r>
          </w:p>
          <w:p w:rsidR="00131EE9" w:rsidRDefault="00FA05EF">
            <w:pPr>
              <w:pStyle w:val="aa"/>
              <w:numPr>
                <w:ilvl w:val="0"/>
                <w:numId w:val="30"/>
              </w:numPr>
              <w:jc w:val="both"/>
              <w:rPr>
                <w:rFonts w:eastAsia="標楷體"/>
                <w:sz w:val="22"/>
                <w:szCs w:val="22"/>
              </w:rPr>
            </w:pPr>
            <w:r>
              <w:rPr>
                <w:rFonts w:eastAsia="標楷體"/>
                <w:sz w:val="22"/>
                <w:szCs w:val="22"/>
              </w:rPr>
              <w:t>黑板照度免檢核：未使用黑板或使用白板者。</w:t>
            </w:r>
          </w:p>
          <w:p w:rsidR="00131EE9" w:rsidRDefault="00FA05EF">
            <w:pPr>
              <w:pStyle w:val="aa"/>
              <w:numPr>
                <w:ilvl w:val="0"/>
                <w:numId w:val="30"/>
              </w:numPr>
              <w:jc w:val="both"/>
              <w:rPr>
                <w:rFonts w:eastAsia="標楷體"/>
                <w:sz w:val="22"/>
                <w:szCs w:val="22"/>
              </w:rPr>
            </w:pPr>
            <w:r>
              <w:rPr>
                <w:rFonts w:eastAsia="標楷體"/>
                <w:sz w:val="22"/>
                <w:szCs w:val="22"/>
              </w:rPr>
              <w:t>桌面照度免檢核：活動室未設桌子者。</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3.3.2</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每名幼兒均有獨立區隔及通風透氣之棉被收納空間或每二週應清洗一次幼兒使用之棉被，並留有紀錄。</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snapToGrid w:val="0"/>
              <w:spacing w:line="300" w:lineRule="exact"/>
              <w:jc w:val="both"/>
              <w:rPr>
                <w:rFonts w:eastAsia="標楷體"/>
                <w:sz w:val="22"/>
              </w:rPr>
            </w:pPr>
            <w:r>
              <w:rPr>
                <w:rFonts w:eastAsia="標楷體"/>
                <w:sz w:val="22"/>
              </w:rPr>
              <w:t>本項得擇一評鑑：</w:t>
            </w:r>
          </w:p>
          <w:p w:rsidR="00131EE9" w:rsidRDefault="00FA05EF">
            <w:pPr>
              <w:pStyle w:val="aa"/>
              <w:numPr>
                <w:ilvl w:val="0"/>
                <w:numId w:val="49"/>
              </w:numPr>
              <w:snapToGrid w:val="0"/>
              <w:spacing w:line="300" w:lineRule="exact"/>
              <w:jc w:val="both"/>
              <w:rPr>
                <w:rFonts w:eastAsia="標楷體"/>
                <w:sz w:val="22"/>
                <w:szCs w:val="22"/>
              </w:rPr>
            </w:pPr>
            <w:r>
              <w:rPr>
                <w:rFonts w:eastAsia="標楷體"/>
                <w:sz w:val="22"/>
                <w:szCs w:val="22"/>
              </w:rPr>
              <w:t>設置棉被收納空間為評鑑細項者，以實地觀察方式為之。</w:t>
            </w:r>
          </w:p>
          <w:p w:rsidR="00131EE9" w:rsidRDefault="00FA05EF">
            <w:pPr>
              <w:pStyle w:val="aa"/>
              <w:numPr>
                <w:ilvl w:val="0"/>
                <w:numId w:val="31"/>
              </w:numPr>
              <w:jc w:val="both"/>
              <w:rPr>
                <w:rFonts w:eastAsia="標楷體"/>
                <w:sz w:val="22"/>
                <w:szCs w:val="22"/>
              </w:rPr>
            </w:pPr>
            <w:r>
              <w:rPr>
                <w:rFonts w:eastAsia="標楷體"/>
                <w:sz w:val="22"/>
                <w:szCs w:val="22"/>
              </w:rPr>
              <w:t>每二週清洗一次幼兒使用之棉被為評鑑細項者，抽查評鑑當學年及前一學年之相關紀錄，如親子聯絡簿、家長通知單等。</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3.4</w:t>
            </w:r>
          </w:p>
          <w:p w:rsidR="00131EE9" w:rsidRDefault="00131EE9">
            <w:pPr>
              <w:pStyle w:val="Standard"/>
              <w:rPr>
                <w:rFonts w:eastAsia="標楷體"/>
                <w:sz w:val="22"/>
              </w:rPr>
            </w:pPr>
          </w:p>
        </w:tc>
        <w:tc>
          <w:tcPr>
            <w:tcW w:w="614"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午休</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3.4.1</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全日班應規劃適宜之午睡時間；二歲至未滿三歲幼兒之午睡時間不超過兩小時、三歲至入國民小學前幼兒不超過一小時三十分鐘。</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pPr>
            <w:r>
              <w:rPr>
                <w:rFonts w:eastAsia="標楷體"/>
                <w:spacing w:val="-4"/>
                <w:sz w:val="22"/>
              </w:rPr>
              <w:t>抽查評鑑當學年及前一學年之資料，如作息時間表</w:t>
            </w:r>
            <w:r>
              <w:rPr>
                <w:rFonts w:eastAsia="標楷體"/>
                <w:sz w:val="22"/>
              </w:rPr>
              <w:t>或</w:t>
            </w:r>
            <w:r>
              <w:rPr>
                <w:rFonts w:eastAsia="標楷體"/>
                <w:spacing w:val="-4"/>
                <w:sz w:val="22"/>
              </w:rPr>
              <w:t>教學課程表等。</w:t>
            </w:r>
          </w:p>
          <w:p w:rsidR="00131EE9" w:rsidRDefault="00131EE9">
            <w:pPr>
              <w:pStyle w:val="Standard"/>
              <w:jc w:val="both"/>
              <w:rPr>
                <w:rFonts w:eastAsia="標楷體"/>
                <w:spacing w:val="-4"/>
                <w:sz w:val="22"/>
              </w:rPr>
            </w:pPr>
          </w:p>
          <w:p w:rsidR="00131EE9" w:rsidRDefault="00131EE9">
            <w:pPr>
              <w:pStyle w:val="Standard"/>
              <w:jc w:val="both"/>
              <w:rPr>
                <w:rFonts w:eastAsia="標楷體"/>
                <w:spacing w:val="-4"/>
                <w:sz w:val="22"/>
              </w:rPr>
            </w:pPr>
          </w:p>
          <w:p w:rsidR="00131EE9" w:rsidRDefault="00131EE9">
            <w:pPr>
              <w:pStyle w:val="Standard"/>
              <w:jc w:val="both"/>
              <w:rPr>
                <w:rFonts w:eastAsia="標楷體"/>
                <w:spacing w:val="-4"/>
                <w:sz w:val="22"/>
              </w:rPr>
            </w:pPr>
          </w:p>
          <w:p w:rsidR="00131EE9" w:rsidRDefault="00131EE9">
            <w:pPr>
              <w:pStyle w:val="Standard"/>
              <w:jc w:val="both"/>
              <w:rPr>
                <w:rFonts w:eastAsia="標楷體"/>
                <w:spacing w:val="-4"/>
                <w:sz w:val="22"/>
              </w:rPr>
            </w:pPr>
          </w:p>
          <w:p w:rsidR="00131EE9" w:rsidRDefault="00131EE9">
            <w:pPr>
              <w:pStyle w:val="Standard"/>
              <w:jc w:val="both"/>
              <w:rPr>
                <w:rFonts w:eastAsia="標楷體"/>
                <w:spacing w:val="-4"/>
                <w:sz w:val="22"/>
              </w:rPr>
            </w:pPr>
          </w:p>
          <w:p w:rsidR="00131EE9" w:rsidRDefault="00131EE9">
            <w:pPr>
              <w:pStyle w:val="Standard"/>
              <w:jc w:val="both"/>
              <w:rPr>
                <w:rFonts w:eastAsia="標楷體"/>
                <w:spacing w:val="-4"/>
                <w:sz w:val="22"/>
              </w:rPr>
            </w:pPr>
          </w:p>
          <w:p w:rsidR="00131EE9" w:rsidRDefault="00131EE9">
            <w:pPr>
              <w:pStyle w:val="Standard"/>
              <w:jc w:val="both"/>
              <w:rPr>
                <w:rFonts w:eastAsia="標楷體"/>
                <w:spacing w:val="-4"/>
                <w:sz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pacing w:val="-4"/>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ind w:left="-19" w:firstLine="22"/>
              <w:jc w:val="both"/>
              <w:rPr>
                <w:rFonts w:eastAsia="標楷體"/>
                <w:b/>
                <w:sz w:val="22"/>
              </w:rPr>
            </w:pPr>
            <w:r>
              <w:rPr>
                <w:rFonts w:eastAsia="標楷體"/>
                <w:b/>
                <w:sz w:val="22"/>
              </w:rPr>
              <w:t>4.</w:t>
            </w:r>
            <w:r>
              <w:rPr>
                <w:rFonts w:eastAsia="標楷體"/>
                <w:b/>
                <w:sz w:val="22"/>
              </w:rPr>
              <w:t>人事</w:t>
            </w:r>
            <w:r>
              <w:rPr>
                <w:rFonts w:eastAsia="標楷體"/>
                <w:b/>
                <w:sz w:val="22"/>
              </w:rPr>
              <w:br/>
            </w:r>
            <w:r>
              <w:rPr>
                <w:rFonts w:eastAsia="標楷體"/>
                <w:b/>
                <w:sz w:val="22"/>
              </w:rPr>
              <w:t>管理</w:t>
            </w:r>
          </w:p>
        </w:tc>
        <w:tc>
          <w:tcPr>
            <w:tcW w:w="550"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4.1</w:t>
            </w:r>
          </w:p>
          <w:p w:rsidR="00131EE9" w:rsidRDefault="00131EE9">
            <w:pPr>
              <w:pStyle w:val="Standard"/>
              <w:rPr>
                <w:rFonts w:eastAsia="標楷體"/>
                <w:sz w:val="22"/>
              </w:rPr>
            </w:pPr>
          </w:p>
        </w:tc>
        <w:tc>
          <w:tcPr>
            <w:tcW w:w="614"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津貼權益</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4.1.1</w:t>
            </w:r>
            <w:r>
              <w:rPr>
                <w:rFonts w:eastAsia="標楷體"/>
                <w:sz w:val="22"/>
              </w:rPr>
              <w:tab/>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widowControl/>
              <w:jc w:val="both"/>
              <w:rPr>
                <w:rFonts w:eastAsia="標楷體"/>
                <w:sz w:val="22"/>
              </w:rPr>
            </w:pPr>
            <w:r>
              <w:rPr>
                <w:rFonts w:eastAsia="標楷體"/>
                <w:sz w:val="22"/>
              </w:rPr>
              <w:t>教保服務人員之薪資所得未因領取政府所發導師津貼差額或教保服務津貼而調降。</w:t>
            </w:r>
          </w:p>
          <w:p w:rsidR="00131EE9" w:rsidRDefault="00131EE9">
            <w:pPr>
              <w:pStyle w:val="Standard"/>
              <w:jc w:val="both"/>
              <w:rPr>
                <w:rFonts w:eastAsia="標楷體"/>
                <w:sz w:val="22"/>
              </w:rPr>
            </w:pP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50"/>
              </w:numPr>
              <w:spacing w:line="300" w:lineRule="exact"/>
              <w:jc w:val="both"/>
              <w:rPr>
                <w:rFonts w:eastAsia="標楷體"/>
                <w:sz w:val="22"/>
                <w:szCs w:val="22"/>
              </w:rPr>
            </w:pPr>
            <w:r>
              <w:rPr>
                <w:rFonts w:eastAsia="標楷體"/>
                <w:sz w:val="22"/>
                <w:szCs w:val="22"/>
              </w:rPr>
              <w:t>抽查教保服務人員評鑑當學年及前一週期進行評鑑之學年薪資相關資料，如勞工名卡、入帳證明文件等。</w:t>
            </w:r>
          </w:p>
          <w:p w:rsidR="00131EE9" w:rsidRDefault="00FA05EF">
            <w:pPr>
              <w:pStyle w:val="aa"/>
              <w:numPr>
                <w:ilvl w:val="0"/>
                <w:numId w:val="20"/>
              </w:numPr>
              <w:jc w:val="both"/>
              <w:rPr>
                <w:rFonts w:eastAsia="標楷體"/>
                <w:sz w:val="22"/>
                <w:szCs w:val="22"/>
              </w:rPr>
            </w:pPr>
            <w:r>
              <w:rPr>
                <w:rFonts w:eastAsia="標楷體"/>
                <w:sz w:val="22"/>
                <w:szCs w:val="22"/>
              </w:rPr>
              <w:t>園內未有一百年至評鑑當學年持續在園任職之教保服務人員者，此項免檢核。</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4.2</w:t>
            </w:r>
          </w:p>
          <w:p w:rsidR="00131EE9" w:rsidRDefault="00131EE9">
            <w:pPr>
              <w:pStyle w:val="Standard"/>
              <w:rPr>
                <w:rFonts w:eastAsia="標楷體"/>
                <w:sz w:val="22"/>
              </w:rPr>
            </w:pPr>
          </w:p>
        </w:tc>
        <w:tc>
          <w:tcPr>
            <w:tcW w:w="614"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員工保險</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4.2.1</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教職員工均辦理保險，且投保薪資未有低報情形。</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51"/>
              </w:numPr>
              <w:jc w:val="both"/>
              <w:rPr>
                <w:rFonts w:eastAsia="標楷體"/>
                <w:sz w:val="22"/>
                <w:szCs w:val="22"/>
              </w:rPr>
            </w:pPr>
            <w:r>
              <w:rPr>
                <w:rFonts w:eastAsia="標楷體"/>
                <w:sz w:val="22"/>
                <w:szCs w:val="22"/>
              </w:rPr>
              <w:t>查閱近六個月教職員工之薪資資料。</w:t>
            </w:r>
          </w:p>
          <w:p w:rsidR="00131EE9" w:rsidRDefault="00FA05EF">
            <w:pPr>
              <w:pStyle w:val="aa"/>
              <w:numPr>
                <w:ilvl w:val="0"/>
                <w:numId w:val="15"/>
              </w:numPr>
              <w:jc w:val="both"/>
              <w:rPr>
                <w:rFonts w:eastAsia="標楷體"/>
                <w:sz w:val="22"/>
                <w:szCs w:val="22"/>
              </w:rPr>
            </w:pPr>
            <w:r>
              <w:rPr>
                <w:rFonts w:eastAsia="標楷體"/>
                <w:sz w:val="22"/>
                <w:szCs w:val="22"/>
              </w:rPr>
              <w:t>查閱近六個月教職員工保險，包括：全民健康保險、勞工保險</w:t>
            </w:r>
            <w:r>
              <w:rPr>
                <w:rFonts w:eastAsia="標楷體"/>
                <w:sz w:val="22"/>
                <w:szCs w:val="22"/>
              </w:rPr>
              <w:t>(</w:t>
            </w:r>
            <w:r>
              <w:rPr>
                <w:rFonts w:eastAsia="標楷體"/>
                <w:sz w:val="22"/>
                <w:szCs w:val="22"/>
              </w:rPr>
              <w:t>含職災</w:t>
            </w:r>
            <w:r>
              <w:rPr>
                <w:rFonts w:eastAsia="標楷體"/>
                <w:sz w:val="22"/>
                <w:szCs w:val="22"/>
              </w:rPr>
              <w:t>)</w:t>
            </w:r>
            <w:r>
              <w:rPr>
                <w:rFonts w:eastAsia="標楷體"/>
                <w:sz w:val="22"/>
                <w:szCs w:val="22"/>
              </w:rPr>
              <w:t>、就業保險或公教人員保險之投保證明文件。</w:t>
            </w:r>
          </w:p>
          <w:p w:rsidR="00131EE9" w:rsidRDefault="00FA05EF">
            <w:pPr>
              <w:pStyle w:val="aa"/>
              <w:numPr>
                <w:ilvl w:val="0"/>
                <w:numId w:val="15"/>
              </w:numPr>
              <w:jc w:val="both"/>
              <w:rPr>
                <w:rFonts w:eastAsia="標楷體"/>
                <w:sz w:val="22"/>
                <w:szCs w:val="22"/>
              </w:rPr>
            </w:pPr>
            <w:r>
              <w:rPr>
                <w:rFonts w:eastAsia="標楷體"/>
                <w:sz w:val="22"/>
                <w:szCs w:val="22"/>
              </w:rPr>
              <w:t>僱用員工未達五人之幼兒園，勞保免檢核，就業保險仍應檢核。</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4.3</w:t>
            </w:r>
          </w:p>
          <w:p w:rsidR="00131EE9" w:rsidRDefault="00131EE9">
            <w:pPr>
              <w:pStyle w:val="Standard"/>
              <w:rPr>
                <w:rFonts w:eastAsia="標楷體"/>
                <w:sz w:val="22"/>
              </w:rPr>
            </w:pPr>
          </w:p>
        </w:tc>
        <w:tc>
          <w:tcPr>
            <w:tcW w:w="614"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退休制度</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4.3.1</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依規定提撥勞工退休準備金或提繳勞工退休金。</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52"/>
              </w:numPr>
              <w:jc w:val="both"/>
              <w:rPr>
                <w:rFonts w:eastAsia="標楷體"/>
                <w:sz w:val="22"/>
                <w:szCs w:val="22"/>
              </w:rPr>
            </w:pPr>
            <w:r>
              <w:rPr>
                <w:rFonts w:eastAsia="標楷體"/>
                <w:sz w:val="22"/>
                <w:szCs w:val="22"/>
              </w:rPr>
              <w:t>查閱近六個月之薪資資料。</w:t>
            </w:r>
          </w:p>
          <w:p w:rsidR="00131EE9" w:rsidRDefault="00FA05EF">
            <w:pPr>
              <w:pStyle w:val="aa"/>
              <w:numPr>
                <w:ilvl w:val="0"/>
                <w:numId w:val="26"/>
              </w:numPr>
              <w:jc w:val="both"/>
              <w:rPr>
                <w:rFonts w:eastAsia="標楷體"/>
                <w:sz w:val="22"/>
                <w:szCs w:val="22"/>
              </w:rPr>
            </w:pPr>
            <w:r>
              <w:rPr>
                <w:rFonts w:eastAsia="標楷體"/>
                <w:sz w:val="22"/>
                <w:szCs w:val="22"/>
              </w:rPr>
              <w:t>查閱近六個月之提繳勞工退休金證明文件。</w:t>
            </w:r>
          </w:p>
          <w:p w:rsidR="00131EE9" w:rsidRDefault="00FA05EF">
            <w:pPr>
              <w:pStyle w:val="aa"/>
              <w:numPr>
                <w:ilvl w:val="0"/>
                <w:numId w:val="26"/>
              </w:numPr>
              <w:jc w:val="both"/>
              <w:rPr>
                <w:rFonts w:eastAsia="標楷體"/>
                <w:sz w:val="22"/>
                <w:szCs w:val="22"/>
              </w:rPr>
            </w:pPr>
            <w:r>
              <w:rPr>
                <w:rFonts w:eastAsia="標楷體"/>
                <w:sz w:val="22"/>
                <w:szCs w:val="22"/>
              </w:rPr>
              <w:t>園內有九十四年六月以前任職者，查閱近六個月之提撥勞工退休準備金證明文件，無則免備。</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4.4</w:t>
            </w:r>
          </w:p>
          <w:p w:rsidR="00131EE9" w:rsidRDefault="00131EE9">
            <w:pPr>
              <w:pStyle w:val="Standard"/>
              <w:rPr>
                <w:rFonts w:eastAsia="標楷體"/>
                <w:sz w:val="22"/>
              </w:rPr>
            </w:pPr>
          </w:p>
        </w:tc>
        <w:tc>
          <w:tcPr>
            <w:tcW w:w="614"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出勤管理</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4.4.1</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雇主應依相關規定備製及保存勞工出勤紀錄，並依規定核予例假、休息日及休假。</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抽查近六個月之出勤紀錄及請假紀錄等相關資料。</w:t>
            </w:r>
          </w:p>
          <w:p w:rsidR="00131EE9" w:rsidRDefault="00131EE9">
            <w:pPr>
              <w:pStyle w:val="Standard"/>
              <w:jc w:val="both"/>
              <w:rPr>
                <w:rFonts w:eastAsia="標楷體"/>
                <w:sz w:val="22"/>
              </w:rPr>
            </w:pPr>
          </w:p>
          <w:p w:rsidR="00131EE9" w:rsidRDefault="00131EE9">
            <w:pPr>
              <w:pStyle w:val="Standard"/>
              <w:jc w:val="both"/>
              <w:rPr>
                <w:rFonts w:eastAsia="標楷體"/>
                <w:sz w:val="22"/>
              </w:rPr>
            </w:pPr>
          </w:p>
          <w:p w:rsidR="00131EE9" w:rsidRDefault="00131EE9">
            <w:pPr>
              <w:pStyle w:val="Standard"/>
              <w:jc w:val="both"/>
              <w:rPr>
                <w:rFonts w:eastAsia="標楷體"/>
                <w:sz w:val="22"/>
              </w:rPr>
            </w:pPr>
          </w:p>
          <w:p w:rsidR="00131EE9" w:rsidRDefault="00131EE9">
            <w:pPr>
              <w:pStyle w:val="Standard"/>
              <w:jc w:val="both"/>
              <w:rPr>
                <w:rFonts w:eastAsia="標楷體"/>
                <w:sz w:val="22"/>
              </w:rPr>
            </w:pPr>
          </w:p>
          <w:p w:rsidR="00131EE9" w:rsidRDefault="00131EE9">
            <w:pPr>
              <w:pStyle w:val="Standard"/>
              <w:jc w:val="both"/>
              <w:rPr>
                <w:rFonts w:eastAsia="標楷體"/>
                <w:sz w:val="22"/>
              </w:rPr>
            </w:pPr>
          </w:p>
          <w:p w:rsidR="00131EE9" w:rsidRDefault="00131EE9">
            <w:pPr>
              <w:pStyle w:val="Standard"/>
              <w:jc w:val="both"/>
              <w:rPr>
                <w:rFonts w:eastAsia="標楷體"/>
                <w:sz w:val="22"/>
              </w:rPr>
            </w:pPr>
          </w:p>
          <w:p w:rsidR="00131EE9" w:rsidRDefault="00131EE9">
            <w:pPr>
              <w:pStyle w:val="Standard"/>
              <w:jc w:val="both"/>
              <w:rPr>
                <w:rFonts w:eastAsia="標楷體"/>
                <w:sz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ind w:left="-19" w:firstLine="22"/>
              <w:jc w:val="both"/>
              <w:rPr>
                <w:rFonts w:eastAsia="標楷體"/>
                <w:b/>
                <w:sz w:val="22"/>
              </w:rPr>
            </w:pPr>
            <w:r>
              <w:rPr>
                <w:rFonts w:eastAsia="標楷體"/>
                <w:b/>
                <w:sz w:val="22"/>
              </w:rPr>
              <w:t>5.</w:t>
            </w:r>
            <w:r>
              <w:rPr>
                <w:rFonts w:eastAsia="標楷體"/>
                <w:b/>
                <w:sz w:val="22"/>
              </w:rPr>
              <w:t>餐飲</w:t>
            </w:r>
            <w:r>
              <w:rPr>
                <w:rFonts w:eastAsia="標楷體"/>
                <w:b/>
                <w:sz w:val="22"/>
              </w:rPr>
              <w:br/>
            </w:r>
            <w:r>
              <w:rPr>
                <w:rFonts w:eastAsia="標楷體"/>
                <w:b/>
                <w:sz w:val="22"/>
              </w:rPr>
              <w:t>與衛生</w:t>
            </w:r>
            <w:r>
              <w:rPr>
                <w:rFonts w:eastAsia="標楷體"/>
                <w:b/>
                <w:sz w:val="22"/>
              </w:rPr>
              <w:br/>
            </w:r>
            <w:r>
              <w:rPr>
                <w:rFonts w:eastAsia="標楷體"/>
                <w:b/>
                <w:sz w:val="22"/>
              </w:rPr>
              <w:t>管理</w:t>
            </w:r>
          </w:p>
        </w:tc>
        <w:tc>
          <w:tcPr>
            <w:tcW w:w="55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5.1</w:t>
            </w:r>
          </w:p>
          <w:p w:rsidR="00131EE9" w:rsidRDefault="00131EE9">
            <w:pPr>
              <w:pStyle w:val="Standard"/>
              <w:rPr>
                <w:rFonts w:eastAsia="標楷體"/>
                <w:sz w:val="22"/>
              </w:rPr>
            </w:pPr>
          </w:p>
        </w:tc>
        <w:tc>
          <w:tcPr>
            <w:tcW w:w="614" w:type="dxa"/>
            <w:vMerge w:val="restart"/>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餐飲管理</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5.1.1</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widowControl/>
              <w:jc w:val="both"/>
            </w:pPr>
            <w:r>
              <w:rPr>
                <w:rFonts w:eastAsia="標楷體"/>
                <w:sz w:val="22"/>
              </w:rPr>
              <w:t>應</w:t>
            </w:r>
            <w:r>
              <w:rPr>
                <w:rFonts w:eastAsia="標楷體"/>
                <w:sz w:val="22"/>
              </w:rPr>
              <w:t>公布每個月餐點表，並告知家長，且每日餐點均含全穀根莖類、豆魚肉蛋類、蔬菜類及水果類等四大類食物。</w:t>
            </w:r>
          </w:p>
          <w:p w:rsidR="00131EE9" w:rsidRDefault="00131EE9">
            <w:pPr>
              <w:pStyle w:val="Standard"/>
              <w:jc w:val="both"/>
              <w:rPr>
                <w:rFonts w:eastAsia="標楷體"/>
                <w:sz w:val="22"/>
              </w:rPr>
            </w:pP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numPr>
                <w:ilvl w:val="0"/>
                <w:numId w:val="53"/>
              </w:numPr>
              <w:jc w:val="both"/>
              <w:rPr>
                <w:rFonts w:eastAsia="標楷體"/>
                <w:sz w:val="22"/>
              </w:rPr>
            </w:pPr>
            <w:r>
              <w:rPr>
                <w:rFonts w:eastAsia="標楷體"/>
                <w:sz w:val="22"/>
              </w:rPr>
              <w:t>查閱評鑑當學年之公告紀錄，如書面公告、網頁資料等。</w:t>
            </w:r>
          </w:p>
          <w:p w:rsidR="00131EE9" w:rsidRDefault="00FA05EF">
            <w:pPr>
              <w:pStyle w:val="aa"/>
              <w:numPr>
                <w:ilvl w:val="0"/>
                <w:numId w:val="28"/>
              </w:numPr>
              <w:jc w:val="both"/>
              <w:rPr>
                <w:rFonts w:eastAsia="標楷體"/>
                <w:sz w:val="22"/>
                <w:szCs w:val="22"/>
              </w:rPr>
            </w:pPr>
            <w:r>
              <w:rPr>
                <w:rFonts w:eastAsia="標楷體"/>
                <w:sz w:val="22"/>
                <w:szCs w:val="22"/>
              </w:rPr>
              <w:t>抽查評鑑當學年之通知紀錄，如親子聯絡簿、家長通知單等。</w:t>
            </w:r>
          </w:p>
          <w:p w:rsidR="00131EE9" w:rsidRDefault="00FA05EF">
            <w:pPr>
              <w:pStyle w:val="aa"/>
              <w:numPr>
                <w:ilvl w:val="0"/>
                <w:numId w:val="28"/>
              </w:numPr>
              <w:jc w:val="both"/>
              <w:rPr>
                <w:rFonts w:eastAsia="標楷體"/>
                <w:sz w:val="22"/>
                <w:szCs w:val="22"/>
              </w:rPr>
            </w:pPr>
            <w:r>
              <w:rPr>
                <w:rFonts w:eastAsia="標楷體"/>
                <w:sz w:val="22"/>
                <w:szCs w:val="22"/>
              </w:rPr>
              <w:t>抽查餐點表所列食物內容。</w:t>
            </w:r>
          </w:p>
          <w:p w:rsidR="00131EE9" w:rsidRDefault="00FA05EF">
            <w:pPr>
              <w:pStyle w:val="aa"/>
              <w:numPr>
                <w:ilvl w:val="0"/>
                <w:numId w:val="28"/>
              </w:numPr>
              <w:jc w:val="both"/>
              <w:rPr>
                <w:rFonts w:eastAsia="標楷體"/>
                <w:sz w:val="22"/>
                <w:szCs w:val="22"/>
              </w:rPr>
            </w:pPr>
            <w:r>
              <w:rPr>
                <w:rFonts w:eastAsia="標楷體"/>
                <w:sz w:val="22"/>
                <w:szCs w:val="22"/>
              </w:rPr>
              <w:t>各類別所含食物內容得參考教育部或直轄市、縣</w:t>
            </w:r>
            <w:r>
              <w:rPr>
                <w:rFonts w:eastAsia="標楷體"/>
                <w:sz w:val="22"/>
                <w:szCs w:val="22"/>
              </w:rPr>
              <w:t>(</w:t>
            </w:r>
            <w:r>
              <w:rPr>
                <w:rFonts w:eastAsia="標楷體"/>
                <w:sz w:val="22"/>
                <w:szCs w:val="22"/>
              </w:rPr>
              <w:t>市</w:t>
            </w:r>
            <w:r>
              <w:rPr>
                <w:rFonts w:eastAsia="標楷體"/>
                <w:sz w:val="22"/>
                <w:szCs w:val="22"/>
              </w:rPr>
              <w:t>)</w:t>
            </w:r>
            <w:r>
              <w:rPr>
                <w:rFonts w:eastAsia="標楷體"/>
                <w:sz w:val="22"/>
                <w:szCs w:val="22"/>
              </w:rPr>
              <w:t>主管機關訂定之幼兒園幼兒飲食餐點營養設計相關參考資料。</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5.1.2</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點心與正餐之供應時間，規劃至少間隔二小時。</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pPr>
            <w:r>
              <w:rPr>
                <w:rFonts w:eastAsia="標楷體"/>
                <w:sz w:val="22"/>
              </w:rPr>
              <w:t>抽查評鑑當學年及前一學年之資料，</w:t>
            </w:r>
            <w:r>
              <w:rPr>
                <w:rFonts w:eastAsia="標楷體"/>
                <w:spacing w:val="-4"/>
                <w:sz w:val="22"/>
              </w:rPr>
              <w:t>如作息時間表或教學課程表等。</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pacing w:val="-4"/>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5.1.3</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幼兒使用之餐具不得為塑膠或美耐皿材質。</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54"/>
              </w:numPr>
              <w:jc w:val="both"/>
              <w:rPr>
                <w:rFonts w:eastAsia="標楷體"/>
                <w:sz w:val="22"/>
                <w:szCs w:val="22"/>
              </w:rPr>
            </w:pPr>
            <w:r>
              <w:rPr>
                <w:rFonts w:eastAsia="標楷體"/>
                <w:sz w:val="22"/>
                <w:szCs w:val="22"/>
              </w:rPr>
              <w:t>實地觀察幼兒使用之餐具。</w:t>
            </w:r>
          </w:p>
          <w:p w:rsidR="00131EE9" w:rsidRDefault="00FA05EF">
            <w:pPr>
              <w:pStyle w:val="aa"/>
              <w:numPr>
                <w:ilvl w:val="0"/>
                <w:numId w:val="33"/>
              </w:numPr>
              <w:jc w:val="both"/>
              <w:rPr>
                <w:rFonts w:eastAsia="標楷體"/>
                <w:sz w:val="22"/>
                <w:szCs w:val="22"/>
              </w:rPr>
            </w:pPr>
            <w:r>
              <w:rPr>
                <w:rFonts w:eastAsia="標楷體"/>
                <w:sz w:val="22"/>
                <w:szCs w:val="22"/>
              </w:rPr>
              <w:t>除幼兒使用外，應含盛裝食品之所有餐具。</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5.1.4</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廚房之出入口應設置病媒防治設施，且無損壞。</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實地觀察病媒防治設施，如自動門、紗門、塑膠簾、空氣簾或其他設備等。</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5.1.5</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飲用水連續供水固定設備每個月至少維護一次，並留有紀錄。</w:t>
            </w:r>
          </w:p>
        </w:tc>
        <w:tc>
          <w:tcPr>
            <w:tcW w:w="702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numPr>
                <w:ilvl w:val="0"/>
                <w:numId w:val="55"/>
              </w:numPr>
              <w:spacing w:line="300" w:lineRule="exact"/>
              <w:jc w:val="both"/>
            </w:pPr>
            <w:r>
              <w:rPr>
                <w:rFonts w:eastAsia="標楷體"/>
                <w:sz w:val="22"/>
              </w:rPr>
              <w:t>查閱評鑑當學年及前一學年之</w:t>
            </w:r>
            <w:r>
              <w:rPr>
                <w:rFonts w:eastAsia="標楷體"/>
                <w:sz w:val="22"/>
              </w:rPr>
              <w:t>飲用水設備</w:t>
            </w:r>
            <w:r>
              <w:rPr>
                <w:rFonts w:eastAsia="標楷體"/>
                <w:sz w:val="22"/>
              </w:rPr>
              <w:t>水質檢驗及設備維護紀錄表。</w:t>
            </w:r>
          </w:p>
          <w:p w:rsidR="00131EE9" w:rsidRDefault="00FA05EF">
            <w:pPr>
              <w:pStyle w:val="Standard"/>
              <w:numPr>
                <w:ilvl w:val="0"/>
                <w:numId w:val="6"/>
              </w:numPr>
              <w:spacing w:line="300" w:lineRule="exact"/>
              <w:jc w:val="both"/>
            </w:pPr>
            <w:r>
              <w:rPr>
                <w:rFonts w:eastAsia="標楷體"/>
                <w:sz w:val="22"/>
              </w:rPr>
              <w:lastRenderedPageBreak/>
              <w:t>飲用水</w:t>
            </w:r>
            <w:r>
              <w:rPr>
                <w:rFonts w:eastAsia="標楷體"/>
                <w:sz w:val="22"/>
              </w:rPr>
              <w:t>連續供水固定設備：指公私場所以管線輸送固定水源並能連續處理及連續供水之飲水機，或將其處理後之水以管線輸送至飲水檯供人飲用之裝置</w:t>
            </w:r>
            <w:r>
              <w:rPr>
                <w:rFonts w:eastAsia="標楷體"/>
                <w:sz w:val="22"/>
              </w:rPr>
              <w:t>。</w:t>
            </w:r>
          </w:p>
          <w:p w:rsidR="00131EE9" w:rsidRDefault="00FA05EF">
            <w:pPr>
              <w:pStyle w:val="aa"/>
              <w:numPr>
                <w:ilvl w:val="0"/>
                <w:numId w:val="6"/>
              </w:numPr>
              <w:jc w:val="both"/>
              <w:rPr>
                <w:rFonts w:eastAsia="標楷體"/>
                <w:sz w:val="22"/>
                <w:szCs w:val="22"/>
              </w:rPr>
            </w:pPr>
            <w:r>
              <w:rPr>
                <w:rFonts w:eastAsia="標楷體"/>
                <w:sz w:val="22"/>
                <w:szCs w:val="22"/>
              </w:rPr>
              <w:t>若飲用水連續供水固定設備登記單位為所附設之學校者，其抽驗檢測之比例及頻率依飲用水連續供水固定設備使用及維護管理辦法第</w:t>
            </w:r>
            <w:r>
              <w:rPr>
                <w:rFonts w:eastAsia="標楷體"/>
                <w:sz w:val="22"/>
                <w:szCs w:val="22"/>
              </w:rPr>
              <w:t>8</w:t>
            </w:r>
            <w:r>
              <w:rPr>
                <w:rFonts w:eastAsia="標楷體"/>
                <w:sz w:val="22"/>
                <w:szCs w:val="22"/>
              </w:rPr>
              <w:t>條規定辦理。</w:t>
            </w:r>
          </w:p>
          <w:p w:rsidR="00131EE9" w:rsidRDefault="00FA05EF">
            <w:pPr>
              <w:pStyle w:val="aa"/>
              <w:numPr>
                <w:ilvl w:val="0"/>
                <w:numId w:val="6"/>
              </w:numPr>
              <w:jc w:val="both"/>
              <w:rPr>
                <w:rFonts w:eastAsia="標楷體"/>
                <w:sz w:val="22"/>
                <w:szCs w:val="22"/>
              </w:rPr>
            </w:pPr>
            <w:r>
              <w:rPr>
                <w:rFonts w:eastAsia="標楷體"/>
                <w:sz w:val="22"/>
                <w:szCs w:val="22"/>
              </w:rPr>
              <w:t>未設置飲用水連續供水固定設備者，此項免檢核。</w:t>
            </w:r>
          </w:p>
          <w:p w:rsidR="00131EE9" w:rsidRDefault="00FA05EF">
            <w:pPr>
              <w:pStyle w:val="aa"/>
              <w:numPr>
                <w:ilvl w:val="0"/>
                <w:numId w:val="6"/>
              </w:numPr>
              <w:jc w:val="both"/>
              <w:rPr>
                <w:rFonts w:eastAsia="標楷體"/>
                <w:sz w:val="22"/>
                <w:szCs w:val="22"/>
              </w:rPr>
            </w:pPr>
            <w:r>
              <w:rPr>
                <w:rFonts w:eastAsia="標楷體"/>
                <w:sz w:val="22"/>
                <w:szCs w:val="22"/>
              </w:rPr>
              <w:t>本項目得於評鑑前，就直轄市、縣</w:t>
            </w:r>
            <w:r>
              <w:rPr>
                <w:rFonts w:eastAsia="標楷體"/>
                <w:sz w:val="22"/>
                <w:szCs w:val="22"/>
              </w:rPr>
              <w:t>(</w:t>
            </w:r>
            <w:r>
              <w:rPr>
                <w:rFonts w:eastAsia="標楷體"/>
                <w:sz w:val="22"/>
                <w:szCs w:val="22"/>
              </w:rPr>
              <w:t>市</w:t>
            </w:r>
            <w:r>
              <w:rPr>
                <w:rFonts w:eastAsia="標楷體"/>
                <w:sz w:val="22"/>
                <w:szCs w:val="22"/>
              </w:rPr>
              <w:t>)</w:t>
            </w:r>
            <w:r>
              <w:rPr>
                <w:rFonts w:eastAsia="標楷體"/>
                <w:sz w:val="22"/>
                <w:szCs w:val="22"/>
              </w:rPr>
              <w:t>主管機關相關業務單位提供之查核結果進行審查，免實地檢查。</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5.1.6</w:t>
            </w:r>
          </w:p>
          <w:p w:rsidR="00131EE9" w:rsidRDefault="00131EE9">
            <w:pPr>
              <w:pStyle w:val="Standard"/>
              <w:spacing w:line="340" w:lineRule="exact"/>
              <w:ind w:left="484" w:hanging="484"/>
              <w:jc w:val="center"/>
              <w:rPr>
                <w:rFonts w:eastAsia="標楷體"/>
                <w:sz w:val="22"/>
                <w:szCs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spacing w:line="340" w:lineRule="exact"/>
              <w:rPr>
                <w:rFonts w:eastAsia="標楷體"/>
                <w:sz w:val="22"/>
              </w:rPr>
            </w:pPr>
            <w:r>
              <w:rPr>
                <w:rFonts w:eastAsia="標楷體"/>
                <w:sz w:val="22"/>
              </w:rPr>
              <w:t>經飲用水連續供水固定設備處理後之水質，每三個月至少檢測一次大腸桿菌群，水質符合標準並留有紀錄。</w:t>
            </w:r>
          </w:p>
        </w:tc>
        <w:tc>
          <w:tcPr>
            <w:tcW w:w="702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5.2</w:t>
            </w:r>
          </w:p>
          <w:p w:rsidR="00131EE9" w:rsidRDefault="00131EE9">
            <w:pPr>
              <w:pStyle w:val="Standard"/>
              <w:rPr>
                <w:rFonts w:eastAsia="標楷體"/>
                <w:sz w:val="22"/>
              </w:rPr>
            </w:pPr>
          </w:p>
        </w:tc>
        <w:tc>
          <w:tcPr>
            <w:tcW w:w="614" w:type="dxa"/>
            <w:vMerge w:val="restart"/>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衛生保健</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5.2.1</w:t>
            </w:r>
            <w:r>
              <w:rPr>
                <w:rFonts w:eastAsia="標楷體"/>
                <w:sz w:val="22"/>
              </w:rPr>
              <w:tab/>
            </w:r>
          </w:p>
          <w:p w:rsidR="00131EE9" w:rsidRDefault="00131EE9">
            <w:pPr>
              <w:pStyle w:val="Standard"/>
              <w:jc w:val="both"/>
              <w:rPr>
                <w:rFonts w:eastAsia="標楷體"/>
                <w:bCs/>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盥洗室</w:t>
            </w:r>
            <w:r>
              <w:rPr>
                <w:rFonts w:eastAsia="標楷體"/>
                <w:sz w:val="22"/>
              </w:rPr>
              <w:t>(</w:t>
            </w:r>
            <w:r>
              <w:rPr>
                <w:rFonts w:eastAsia="標楷體"/>
                <w:sz w:val="22"/>
              </w:rPr>
              <w:t>包括廁所</w:t>
            </w:r>
            <w:r>
              <w:rPr>
                <w:rFonts w:eastAsia="標楷體"/>
                <w:sz w:val="22"/>
              </w:rPr>
              <w:t>)</w:t>
            </w:r>
            <w:r>
              <w:rPr>
                <w:rFonts w:eastAsia="標楷體"/>
                <w:sz w:val="22"/>
              </w:rPr>
              <w:t>應保持通風良好，且未有積水之情形。</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實地觀察。</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5.2.2</w:t>
            </w:r>
            <w:r>
              <w:rPr>
                <w:rFonts w:eastAsia="標楷體"/>
                <w:sz w:val="22"/>
              </w:rPr>
              <w:tab/>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廁所應有隔間設計；若無隔間設計者，男、女廁應分別設置。</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spacing w:line="300" w:lineRule="exact"/>
              <w:jc w:val="both"/>
              <w:rPr>
                <w:rFonts w:eastAsia="標楷體"/>
                <w:sz w:val="22"/>
              </w:rPr>
            </w:pPr>
            <w:r>
              <w:rPr>
                <w:rFonts w:eastAsia="標楷體"/>
                <w:sz w:val="22"/>
              </w:rPr>
              <w:t>本項得就下列二項，擇一實地觀察評鑑：</w:t>
            </w:r>
          </w:p>
          <w:p w:rsidR="00131EE9" w:rsidRDefault="00FA05EF">
            <w:pPr>
              <w:pStyle w:val="aa"/>
              <w:numPr>
                <w:ilvl w:val="0"/>
                <w:numId w:val="56"/>
              </w:numPr>
              <w:jc w:val="both"/>
              <w:rPr>
                <w:rFonts w:eastAsia="標楷體"/>
                <w:sz w:val="22"/>
                <w:szCs w:val="22"/>
              </w:rPr>
            </w:pPr>
            <w:r>
              <w:rPr>
                <w:rFonts w:eastAsia="標楷體"/>
                <w:sz w:val="22"/>
                <w:szCs w:val="22"/>
              </w:rPr>
              <w:t>廁所隔間設計得依幼兒不同年齡發展之特質，在兼顧幼兒安全之原則下，以軟簾或小隔間及門扇或門簾為之。</w:t>
            </w:r>
          </w:p>
          <w:p w:rsidR="00131EE9" w:rsidRDefault="00FA05EF">
            <w:pPr>
              <w:pStyle w:val="aa"/>
              <w:numPr>
                <w:ilvl w:val="0"/>
                <w:numId w:val="11"/>
              </w:numPr>
              <w:jc w:val="both"/>
              <w:rPr>
                <w:rFonts w:eastAsia="標楷體"/>
                <w:sz w:val="22"/>
                <w:szCs w:val="22"/>
              </w:rPr>
            </w:pPr>
            <w:r>
              <w:rPr>
                <w:rFonts w:eastAsia="標楷體"/>
                <w:sz w:val="22"/>
                <w:szCs w:val="22"/>
              </w:rPr>
              <w:t>廁所無隔間設計者，則檢核男、女廁分別設置情形。</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5.2.3</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pPr>
            <w:r>
              <w:rPr>
                <w:rFonts w:eastAsia="標楷體"/>
                <w:sz w:val="22"/>
              </w:rPr>
              <w:t>應建立幼兒託藥</w:t>
            </w:r>
            <w:r>
              <w:rPr>
                <w:rFonts w:eastAsia="標楷體"/>
                <w:sz w:val="22"/>
              </w:rPr>
              <w:t>措施，並告知家長。</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57"/>
              </w:numPr>
              <w:jc w:val="both"/>
              <w:rPr>
                <w:rFonts w:eastAsia="標楷體"/>
                <w:sz w:val="22"/>
                <w:szCs w:val="22"/>
              </w:rPr>
            </w:pPr>
            <w:r>
              <w:rPr>
                <w:rFonts w:eastAsia="標楷體"/>
                <w:sz w:val="22"/>
                <w:szCs w:val="22"/>
              </w:rPr>
              <w:t>查閱託藥規定。</w:t>
            </w:r>
          </w:p>
          <w:p w:rsidR="00131EE9" w:rsidRDefault="00FA05EF">
            <w:pPr>
              <w:pStyle w:val="aa"/>
              <w:numPr>
                <w:ilvl w:val="0"/>
                <w:numId w:val="7"/>
              </w:numPr>
              <w:jc w:val="both"/>
              <w:rPr>
                <w:rFonts w:eastAsia="標楷體"/>
                <w:sz w:val="22"/>
                <w:szCs w:val="22"/>
              </w:rPr>
            </w:pPr>
            <w:r>
              <w:rPr>
                <w:rFonts w:eastAsia="標楷體"/>
                <w:sz w:val="22"/>
                <w:szCs w:val="22"/>
              </w:rPr>
              <w:t>抽查評鑑當學年及前一學年之通知紀錄，如親子聯絡簿、家長手冊等。</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5.3</w:t>
            </w:r>
          </w:p>
          <w:p w:rsidR="00131EE9" w:rsidRDefault="00131EE9">
            <w:pPr>
              <w:pStyle w:val="Standard"/>
              <w:rPr>
                <w:rFonts w:eastAsia="標楷體"/>
                <w:sz w:val="22"/>
              </w:rPr>
            </w:pPr>
          </w:p>
        </w:tc>
        <w:tc>
          <w:tcPr>
            <w:tcW w:w="614"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緊急事件</w:t>
            </w:r>
            <w:r>
              <w:rPr>
                <w:rFonts w:eastAsia="標楷體"/>
                <w:sz w:val="22"/>
              </w:rPr>
              <w:br/>
            </w:r>
            <w:r>
              <w:rPr>
                <w:rFonts w:eastAsia="標楷體"/>
                <w:sz w:val="22"/>
              </w:rPr>
              <w:t>處理</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5.3.1</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訂有緊急事件處理機制並留有處理通報紀錄。</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58"/>
              </w:numPr>
              <w:jc w:val="both"/>
              <w:rPr>
                <w:rFonts w:eastAsia="標楷體"/>
                <w:sz w:val="22"/>
                <w:szCs w:val="22"/>
              </w:rPr>
            </w:pPr>
            <w:r>
              <w:rPr>
                <w:rFonts w:eastAsia="標楷體"/>
                <w:sz w:val="22"/>
                <w:szCs w:val="22"/>
              </w:rPr>
              <w:t>查閱緊急事件處理相關規定。</w:t>
            </w:r>
          </w:p>
          <w:p w:rsidR="00131EE9" w:rsidRDefault="00FA05EF">
            <w:pPr>
              <w:pStyle w:val="aa"/>
              <w:numPr>
                <w:ilvl w:val="0"/>
                <w:numId w:val="10"/>
              </w:numPr>
              <w:jc w:val="both"/>
              <w:rPr>
                <w:rFonts w:eastAsia="標楷體"/>
                <w:sz w:val="22"/>
                <w:szCs w:val="22"/>
              </w:rPr>
            </w:pPr>
            <w:r>
              <w:rPr>
                <w:rFonts w:eastAsia="標楷體"/>
                <w:sz w:val="22"/>
                <w:szCs w:val="22"/>
              </w:rPr>
              <w:t>緊急事件處理機制，應包括以下項目：</w:t>
            </w:r>
          </w:p>
          <w:p w:rsidR="00131EE9" w:rsidRDefault="00FA05EF">
            <w:pPr>
              <w:pStyle w:val="aa"/>
              <w:numPr>
                <w:ilvl w:val="0"/>
                <w:numId w:val="59"/>
              </w:numPr>
              <w:ind w:left="600"/>
              <w:jc w:val="both"/>
              <w:rPr>
                <w:rFonts w:eastAsia="標楷體"/>
                <w:sz w:val="22"/>
                <w:szCs w:val="22"/>
              </w:rPr>
            </w:pPr>
            <w:r>
              <w:rPr>
                <w:rFonts w:eastAsia="標楷體"/>
                <w:sz w:val="22"/>
                <w:szCs w:val="22"/>
              </w:rPr>
              <w:t>幼兒緊急傷病施救注意事項。</w:t>
            </w:r>
            <w:r>
              <w:rPr>
                <w:rFonts w:eastAsia="標楷體"/>
                <w:sz w:val="22"/>
                <w:szCs w:val="22"/>
              </w:rPr>
              <w:br/>
            </w:r>
            <w:r>
              <w:rPr>
                <w:rFonts w:eastAsia="標楷體"/>
                <w:sz w:val="22"/>
                <w:szCs w:val="22"/>
              </w:rPr>
              <w:t xml:space="preserve">(2) </w:t>
            </w:r>
            <w:r>
              <w:rPr>
                <w:rFonts w:eastAsia="標楷體"/>
                <w:sz w:val="22"/>
                <w:szCs w:val="22"/>
              </w:rPr>
              <w:t>事故傷害防制規定。</w:t>
            </w:r>
            <w:r>
              <w:rPr>
                <w:rFonts w:eastAsia="標楷體"/>
                <w:sz w:val="22"/>
                <w:szCs w:val="22"/>
              </w:rPr>
              <w:br/>
            </w:r>
            <w:r>
              <w:rPr>
                <w:rFonts w:eastAsia="標楷體"/>
                <w:sz w:val="22"/>
                <w:szCs w:val="22"/>
              </w:rPr>
              <w:t xml:space="preserve">(3) </w:t>
            </w:r>
            <w:r>
              <w:rPr>
                <w:rFonts w:eastAsia="標楷體"/>
                <w:sz w:val="22"/>
                <w:szCs w:val="22"/>
              </w:rPr>
              <w:t>傳染病通報作業流程。</w:t>
            </w:r>
          </w:p>
          <w:p w:rsidR="00131EE9" w:rsidRDefault="00FA05EF">
            <w:pPr>
              <w:pStyle w:val="aa"/>
              <w:ind w:left="600"/>
              <w:jc w:val="both"/>
              <w:rPr>
                <w:rFonts w:eastAsia="標楷體"/>
                <w:sz w:val="22"/>
                <w:szCs w:val="22"/>
              </w:rPr>
            </w:pPr>
            <w:r>
              <w:rPr>
                <w:rFonts w:eastAsia="標楷體"/>
                <w:sz w:val="22"/>
                <w:szCs w:val="22"/>
              </w:rPr>
              <w:t xml:space="preserve">(4) </w:t>
            </w:r>
            <w:r>
              <w:rPr>
                <w:rFonts w:eastAsia="標楷體"/>
                <w:sz w:val="22"/>
                <w:szCs w:val="22"/>
              </w:rPr>
              <w:t>責任通報作業流程</w:t>
            </w:r>
            <w:r>
              <w:rPr>
                <w:rFonts w:eastAsia="標楷體"/>
                <w:sz w:val="22"/>
                <w:szCs w:val="22"/>
              </w:rPr>
              <w:t>(</w:t>
            </w:r>
            <w:r>
              <w:rPr>
                <w:rFonts w:eastAsia="標楷體"/>
                <w:sz w:val="22"/>
                <w:szCs w:val="22"/>
              </w:rPr>
              <w:t>如兒童虐待、家暴、性侵害等</w:t>
            </w:r>
            <w:r>
              <w:rPr>
                <w:rFonts w:eastAsia="標楷體"/>
                <w:sz w:val="22"/>
                <w:szCs w:val="22"/>
              </w:rPr>
              <w:t>)</w:t>
            </w:r>
            <w:r>
              <w:rPr>
                <w:rFonts w:eastAsia="標楷體"/>
                <w:sz w:val="22"/>
                <w:szCs w:val="22"/>
              </w:rPr>
              <w:t>。</w:t>
            </w:r>
          </w:p>
          <w:p w:rsidR="00131EE9" w:rsidRDefault="00FA05EF">
            <w:pPr>
              <w:pStyle w:val="aa"/>
              <w:numPr>
                <w:ilvl w:val="0"/>
                <w:numId w:val="60"/>
              </w:numPr>
              <w:jc w:val="both"/>
              <w:rPr>
                <w:rFonts w:eastAsia="標楷體"/>
                <w:sz w:val="22"/>
                <w:szCs w:val="22"/>
              </w:rPr>
            </w:pPr>
            <w:r>
              <w:rPr>
                <w:rFonts w:eastAsia="標楷體"/>
                <w:sz w:val="22"/>
                <w:szCs w:val="22"/>
              </w:rPr>
              <w:t>抽查評鑑當學年及前一學年之校安通報網行政通報紀錄。</w:t>
            </w:r>
          </w:p>
          <w:p w:rsidR="00131EE9" w:rsidRDefault="00FA05EF">
            <w:pPr>
              <w:pStyle w:val="aa"/>
              <w:numPr>
                <w:ilvl w:val="0"/>
                <w:numId w:val="10"/>
              </w:numPr>
              <w:jc w:val="both"/>
              <w:rPr>
                <w:rFonts w:eastAsia="標楷體"/>
                <w:sz w:val="22"/>
                <w:szCs w:val="22"/>
              </w:rPr>
            </w:pPr>
            <w:r>
              <w:rPr>
                <w:rFonts w:eastAsia="標楷體"/>
                <w:sz w:val="22"/>
                <w:szCs w:val="22"/>
              </w:rPr>
              <w:t>無緊急事件個案者，處理通報紀錄免檢核。</w:t>
            </w:r>
          </w:p>
          <w:p w:rsidR="00131EE9" w:rsidRDefault="00131EE9">
            <w:pPr>
              <w:pStyle w:val="aa"/>
              <w:jc w:val="both"/>
              <w:rPr>
                <w:rFonts w:eastAsia="標楷體"/>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ind w:left="-19" w:firstLine="22"/>
              <w:jc w:val="both"/>
              <w:rPr>
                <w:rFonts w:eastAsia="標楷體"/>
                <w:b/>
                <w:sz w:val="22"/>
              </w:rPr>
            </w:pPr>
            <w:r>
              <w:rPr>
                <w:rFonts w:eastAsia="標楷體"/>
                <w:b/>
                <w:sz w:val="22"/>
              </w:rPr>
              <w:t>6.</w:t>
            </w:r>
            <w:r>
              <w:rPr>
                <w:rFonts w:eastAsia="標楷體"/>
                <w:b/>
                <w:sz w:val="22"/>
              </w:rPr>
              <w:t>安全</w:t>
            </w:r>
            <w:r>
              <w:rPr>
                <w:rFonts w:eastAsia="標楷體"/>
                <w:b/>
                <w:sz w:val="22"/>
              </w:rPr>
              <w:br/>
            </w:r>
            <w:r>
              <w:rPr>
                <w:rFonts w:eastAsia="標楷體"/>
                <w:b/>
                <w:sz w:val="22"/>
              </w:rPr>
              <w:t>管理</w:t>
            </w:r>
          </w:p>
        </w:tc>
        <w:tc>
          <w:tcPr>
            <w:tcW w:w="55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6.1</w:t>
            </w:r>
          </w:p>
        </w:tc>
        <w:tc>
          <w:tcPr>
            <w:tcW w:w="614" w:type="dxa"/>
            <w:vMerge w:val="restart"/>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交通安全</w:t>
            </w:r>
          </w:p>
          <w:p w:rsidR="00131EE9" w:rsidRDefault="00131EE9">
            <w:pPr>
              <w:pStyle w:val="Standard"/>
              <w:ind w:left="-62"/>
              <w:rPr>
                <w:rFonts w:eastAsia="標楷體"/>
                <w:sz w:val="22"/>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6.1.1</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widowControl/>
              <w:jc w:val="both"/>
            </w:pPr>
            <w:r>
              <w:rPr>
                <w:rFonts w:eastAsia="標楷體"/>
                <w:sz w:val="22"/>
              </w:rPr>
              <w:t>幼童專用車應</w:t>
            </w:r>
            <w:r>
              <w:rPr>
                <w:rFonts w:eastAsia="標楷體"/>
                <w:bCs/>
                <w:sz w:val="22"/>
                <w:lang w:val="zh-TW"/>
              </w:rPr>
              <w:t>依交通管理相關法規所定期限接受定期檢驗，檢驗合格並留有紀錄</w:t>
            </w:r>
            <w:r>
              <w:rPr>
                <w:rFonts w:eastAsia="標楷體"/>
                <w:sz w:val="22"/>
              </w:rPr>
              <w:t>。</w:t>
            </w:r>
          </w:p>
          <w:p w:rsidR="00131EE9" w:rsidRDefault="00131EE9">
            <w:pPr>
              <w:pStyle w:val="Standard"/>
              <w:jc w:val="both"/>
              <w:rPr>
                <w:rFonts w:eastAsia="標楷體"/>
                <w:sz w:val="22"/>
              </w:rPr>
            </w:pP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61"/>
              </w:numPr>
              <w:spacing w:line="300" w:lineRule="exact"/>
              <w:jc w:val="both"/>
              <w:rPr>
                <w:rFonts w:eastAsia="標楷體"/>
                <w:sz w:val="22"/>
                <w:szCs w:val="22"/>
              </w:rPr>
            </w:pPr>
            <w:r>
              <w:rPr>
                <w:rFonts w:eastAsia="標楷體"/>
                <w:sz w:val="22"/>
                <w:szCs w:val="22"/>
              </w:rPr>
              <w:t>未提供幼童專用車服務者，此項免檢核。</w:t>
            </w:r>
          </w:p>
          <w:p w:rsidR="00131EE9" w:rsidRDefault="00FA05EF">
            <w:pPr>
              <w:pStyle w:val="aa"/>
              <w:numPr>
                <w:ilvl w:val="0"/>
                <w:numId w:val="5"/>
              </w:numPr>
              <w:spacing w:line="300" w:lineRule="exact"/>
              <w:jc w:val="both"/>
              <w:rPr>
                <w:rFonts w:eastAsia="標楷體"/>
                <w:sz w:val="22"/>
                <w:szCs w:val="22"/>
              </w:rPr>
            </w:pPr>
            <w:r>
              <w:rPr>
                <w:rFonts w:eastAsia="標楷體"/>
                <w:sz w:val="22"/>
                <w:szCs w:val="22"/>
              </w:rPr>
              <w:t>查閱評鑑當學年及前一學年之檢驗合格紀錄</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6.1.2</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幼童專用車至少每半年應實施保養，並留有紀錄。</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62"/>
              </w:numPr>
              <w:spacing w:line="300" w:lineRule="exact"/>
              <w:jc w:val="both"/>
              <w:rPr>
                <w:rFonts w:eastAsia="標楷體"/>
                <w:sz w:val="22"/>
                <w:szCs w:val="22"/>
              </w:rPr>
            </w:pPr>
            <w:r>
              <w:rPr>
                <w:rFonts w:eastAsia="標楷體"/>
                <w:sz w:val="22"/>
                <w:szCs w:val="22"/>
              </w:rPr>
              <w:t>未提供幼童專用車服務者，此項免檢核。</w:t>
            </w:r>
          </w:p>
          <w:p w:rsidR="00131EE9" w:rsidRDefault="00FA05EF">
            <w:pPr>
              <w:pStyle w:val="aa"/>
              <w:numPr>
                <w:ilvl w:val="0"/>
                <w:numId w:val="1"/>
              </w:numPr>
              <w:spacing w:line="300" w:lineRule="exact"/>
              <w:jc w:val="both"/>
              <w:rPr>
                <w:rFonts w:eastAsia="標楷體"/>
                <w:sz w:val="22"/>
                <w:szCs w:val="22"/>
              </w:rPr>
            </w:pPr>
            <w:r>
              <w:rPr>
                <w:rFonts w:eastAsia="標楷體"/>
                <w:sz w:val="22"/>
                <w:szCs w:val="22"/>
              </w:rPr>
              <w:t>查閱評鑑當學年及前一學年之保養紀錄。</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pacing w:val="-4"/>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6.1.3</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幼童專用車之駕駛均應具備職業駕照，並應配有具教保服務人員資格或年滿二十歲以上之隨車人員。</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63"/>
              </w:numPr>
              <w:spacing w:line="300" w:lineRule="exact"/>
              <w:jc w:val="both"/>
              <w:rPr>
                <w:rFonts w:eastAsia="標楷體"/>
                <w:sz w:val="22"/>
                <w:szCs w:val="22"/>
              </w:rPr>
            </w:pPr>
            <w:r>
              <w:rPr>
                <w:rFonts w:eastAsia="標楷體"/>
                <w:sz w:val="22"/>
                <w:szCs w:val="22"/>
              </w:rPr>
              <w:t>未提供幼童專用車服務者，此項免檢核。</w:t>
            </w:r>
          </w:p>
          <w:p w:rsidR="00131EE9" w:rsidRDefault="00FA05EF">
            <w:pPr>
              <w:pStyle w:val="aa"/>
              <w:numPr>
                <w:ilvl w:val="0"/>
                <w:numId w:val="35"/>
              </w:numPr>
              <w:spacing w:line="300" w:lineRule="exact"/>
              <w:jc w:val="both"/>
              <w:rPr>
                <w:rFonts w:eastAsia="標楷體"/>
                <w:sz w:val="22"/>
                <w:szCs w:val="22"/>
              </w:rPr>
            </w:pPr>
            <w:r>
              <w:rPr>
                <w:rFonts w:eastAsia="標楷體"/>
                <w:sz w:val="22"/>
                <w:szCs w:val="22"/>
              </w:rPr>
              <w:t>查閱相關資料：</w:t>
            </w:r>
          </w:p>
          <w:p w:rsidR="00131EE9" w:rsidRDefault="00FA05EF">
            <w:pPr>
              <w:pStyle w:val="aa"/>
              <w:numPr>
                <w:ilvl w:val="0"/>
                <w:numId w:val="64"/>
              </w:numPr>
              <w:ind w:left="1025" w:hanging="425"/>
              <w:jc w:val="both"/>
              <w:rPr>
                <w:rFonts w:eastAsia="標楷體"/>
                <w:sz w:val="22"/>
                <w:szCs w:val="22"/>
              </w:rPr>
            </w:pPr>
            <w:r>
              <w:rPr>
                <w:rFonts w:eastAsia="標楷體"/>
                <w:sz w:val="22"/>
                <w:szCs w:val="22"/>
              </w:rPr>
              <w:t>駕駛：查閱駕照，且在有效期限內。</w:t>
            </w:r>
          </w:p>
          <w:p w:rsidR="00131EE9" w:rsidRDefault="00FA05EF">
            <w:pPr>
              <w:pStyle w:val="aa"/>
              <w:numPr>
                <w:ilvl w:val="0"/>
                <w:numId w:val="12"/>
              </w:numPr>
              <w:ind w:left="1025" w:hanging="425"/>
              <w:jc w:val="both"/>
              <w:rPr>
                <w:rFonts w:eastAsia="標楷體"/>
                <w:sz w:val="22"/>
                <w:szCs w:val="22"/>
              </w:rPr>
            </w:pPr>
            <w:r>
              <w:rPr>
                <w:rFonts w:eastAsia="標楷體"/>
                <w:sz w:val="22"/>
                <w:szCs w:val="22"/>
              </w:rPr>
              <w:t>隨車人員：查閱教保服務人員資格證明文件或年滿二十歲之身分證明文件。</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6.1.4</w:t>
            </w: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幼童專用車均應配置對內外行車影像紀錄器及合於規定之滅火器。</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65"/>
              </w:numPr>
              <w:spacing w:line="300" w:lineRule="exact"/>
              <w:jc w:val="both"/>
              <w:rPr>
                <w:rFonts w:eastAsia="標楷體"/>
                <w:sz w:val="22"/>
                <w:szCs w:val="22"/>
              </w:rPr>
            </w:pPr>
            <w:r>
              <w:rPr>
                <w:rFonts w:eastAsia="標楷體"/>
                <w:sz w:val="22"/>
                <w:szCs w:val="22"/>
              </w:rPr>
              <w:t>未提供幼童專用車服務者，此項免檢核。</w:t>
            </w:r>
          </w:p>
          <w:p w:rsidR="00131EE9" w:rsidRDefault="00FA05EF">
            <w:pPr>
              <w:pStyle w:val="aa"/>
              <w:numPr>
                <w:ilvl w:val="0"/>
                <w:numId w:val="29"/>
              </w:numPr>
              <w:spacing w:line="300" w:lineRule="exact"/>
              <w:jc w:val="both"/>
              <w:rPr>
                <w:rFonts w:eastAsia="標楷體"/>
                <w:sz w:val="22"/>
                <w:szCs w:val="22"/>
              </w:rPr>
            </w:pPr>
            <w:r>
              <w:rPr>
                <w:rFonts w:eastAsia="標楷體"/>
                <w:sz w:val="22"/>
                <w:szCs w:val="22"/>
              </w:rPr>
              <w:t>實地觀察每輛幼童專用車滅火器之有效期限及壓力值。</w:t>
            </w:r>
          </w:p>
          <w:p w:rsidR="00131EE9" w:rsidRDefault="00FA05EF">
            <w:pPr>
              <w:pStyle w:val="aa"/>
              <w:numPr>
                <w:ilvl w:val="0"/>
                <w:numId w:val="29"/>
              </w:numPr>
              <w:spacing w:line="300" w:lineRule="exact"/>
              <w:jc w:val="both"/>
            </w:pPr>
            <w:r>
              <w:rPr>
                <w:rFonts w:eastAsia="標楷體"/>
                <w:sz w:val="22"/>
                <w:szCs w:val="22"/>
              </w:rPr>
              <w:t>實地觀察每輛幼童專用車對內、外行車影像紀錄器，</w:t>
            </w:r>
            <w:r>
              <w:rPr>
                <w:rFonts w:eastAsia="標楷體"/>
                <w:sz w:val="22"/>
                <w:szCs w:val="22"/>
              </w:rPr>
              <w:t>及近二個月影像紀錄保存情形。</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6.1.5</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幼童專用車之駕駛應於每次發車前均確實檢查車況及安全門，並留有紀錄。</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66"/>
              </w:numPr>
              <w:spacing w:line="300" w:lineRule="exact"/>
              <w:jc w:val="both"/>
              <w:rPr>
                <w:rFonts w:eastAsia="標楷體"/>
                <w:sz w:val="22"/>
                <w:szCs w:val="22"/>
              </w:rPr>
            </w:pPr>
            <w:r>
              <w:rPr>
                <w:rFonts w:eastAsia="標楷體"/>
                <w:sz w:val="22"/>
                <w:szCs w:val="22"/>
              </w:rPr>
              <w:t>未提供幼童專用車服務者，此項免檢核。</w:t>
            </w:r>
          </w:p>
          <w:p w:rsidR="00131EE9" w:rsidRDefault="00FA05EF">
            <w:pPr>
              <w:pStyle w:val="aa"/>
              <w:numPr>
                <w:ilvl w:val="0"/>
                <w:numId w:val="16"/>
              </w:numPr>
              <w:jc w:val="both"/>
              <w:rPr>
                <w:rFonts w:eastAsia="標楷體"/>
                <w:sz w:val="22"/>
                <w:szCs w:val="22"/>
              </w:rPr>
            </w:pPr>
            <w:r>
              <w:rPr>
                <w:rFonts w:eastAsia="標楷體"/>
                <w:sz w:val="22"/>
                <w:szCs w:val="22"/>
              </w:rPr>
              <w:t>抽查評鑑當學年及前一學年之紀錄。</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6.1.6</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幼兒上下車時，均應依乘坐幼兒名冊逐一清點，並留有紀錄。</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67"/>
              </w:numPr>
              <w:spacing w:line="300" w:lineRule="exact"/>
              <w:jc w:val="both"/>
              <w:rPr>
                <w:rFonts w:eastAsia="標楷體"/>
                <w:sz w:val="22"/>
                <w:szCs w:val="22"/>
              </w:rPr>
            </w:pPr>
            <w:r>
              <w:rPr>
                <w:rFonts w:eastAsia="標楷體"/>
                <w:sz w:val="22"/>
                <w:szCs w:val="22"/>
              </w:rPr>
              <w:t>未提供幼童專用車服務者，此項免檢核。</w:t>
            </w:r>
          </w:p>
          <w:p w:rsidR="00131EE9" w:rsidRDefault="00FA05EF">
            <w:pPr>
              <w:pStyle w:val="aa"/>
              <w:numPr>
                <w:ilvl w:val="0"/>
                <w:numId w:val="2"/>
              </w:numPr>
              <w:jc w:val="both"/>
              <w:rPr>
                <w:rFonts w:eastAsia="標楷體"/>
                <w:sz w:val="22"/>
                <w:szCs w:val="22"/>
              </w:rPr>
            </w:pPr>
            <w:r>
              <w:rPr>
                <w:rFonts w:eastAsia="標楷體"/>
                <w:sz w:val="22"/>
                <w:szCs w:val="22"/>
              </w:rPr>
              <w:t>抽查評鑑當學年及前一學年之乘坐幼兒名冊及每日上下車之核對紀錄。</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6.1.7</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每半年應至少辦理一次幼童專用車逃生演練，並留有紀錄。</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68"/>
              </w:numPr>
              <w:spacing w:line="300" w:lineRule="exact"/>
              <w:jc w:val="both"/>
              <w:rPr>
                <w:rFonts w:eastAsia="標楷體"/>
                <w:sz w:val="22"/>
                <w:szCs w:val="22"/>
              </w:rPr>
            </w:pPr>
            <w:r>
              <w:rPr>
                <w:rFonts w:eastAsia="標楷體"/>
                <w:sz w:val="22"/>
                <w:szCs w:val="22"/>
              </w:rPr>
              <w:t>未提供幼童專用車服務者，此項免檢核。</w:t>
            </w:r>
          </w:p>
          <w:p w:rsidR="00131EE9" w:rsidRDefault="00FA05EF">
            <w:pPr>
              <w:pStyle w:val="aa"/>
              <w:numPr>
                <w:ilvl w:val="0"/>
                <w:numId w:val="3"/>
              </w:numPr>
              <w:spacing w:line="300" w:lineRule="exact"/>
              <w:jc w:val="both"/>
              <w:rPr>
                <w:rFonts w:eastAsia="標楷體"/>
                <w:sz w:val="22"/>
                <w:szCs w:val="22"/>
              </w:rPr>
            </w:pPr>
            <w:r>
              <w:rPr>
                <w:rFonts w:eastAsia="標楷體"/>
                <w:sz w:val="22"/>
                <w:szCs w:val="22"/>
              </w:rPr>
              <w:t>查閱評鑑當學年及前一學年之行事曆、演練紀錄</w:t>
            </w:r>
            <w:r>
              <w:rPr>
                <w:rFonts w:eastAsia="標楷體"/>
                <w:sz w:val="22"/>
                <w:szCs w:val="22"/>
              </w:rPr>
              <w:t>(</w:t>
            </w:r>
            <w:r>
              <w:rPr>
                <w:rFonts w:eastAsia="標楷體"/>
                <w:sz w:val="22"/>
                <w:szCs w:val="22"/>
              </w:rPr>
              <w:t>包括演練照片</w:t>
            </w:r>
            <w:r>
              <w:rPr>
                <w:rFonts w:eastAsia="標楷體"/>
                <w:sz w:val="22"/>
                <w:szCs w:val="22"/>
              </w:rPr>
              <w:t>)</w:t>
            </w:r>
            <w:r>
              <w:rPr>
                <w:rFonts w:eastAsia="標楷體"/>
                <w:sz w:val="22"/>
                <w:szCs w:val="22"/>
              </w:rPr>
              <w:t>。</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rPr>
                <w:rFonts w:eastAsia="標楷體"/>
                <w:sz w:val="22"/>
              </w:rPr>
            </w:pPr>
            <w:r>
              <w:rPr>
                <w:rFonts w:eastAsia="標楷體"/>
                <w:sz w:val="22"/>
              </w:rPr>
              <w:t>6.2</w:t>
            </w:r>
          </w:p>
          <w:p w:rsidR="00131EE9" w:rsidRDefault="00131EE9">
            <w:pPr>
              <w:pStyle w:val="Standard"/>
              <w:rPr>
                <w:rFonts w:eastAsia="標楷體"/>
                <w:sz w:val="22"/>
              </w:rPr>
            </w:pPr>
          </w:p>
        </w:tc>
        <w:tc>
          <w:tcPr>
            <w:tcW w:w="614" w:type="dxa"/>
            <w:vMerge w:val="restart"/>
            <w:tcBorders>
              <w:top w:val="single" w:sz="4" w:space="0" w:color="000000"/>
              <w:bottom w:val="single" w:sz="4" w:space="0" w:color="000000"/>
            </w:tcBorders>
            <w:tcMar>
              <w:top w:w="0" w:type="dxa"/>
              <w:left w:w="108" w:type="dxa"/>
              <w:bottom w:w="0" w:type="dxa"/>
              <w:right w:w="108" w:type="dxa"/>
            </w:tcMar>
          </w:tcPr>
          <w:p w:rsidR="00131EE9" w:rsidRDefault="00FA05EF">
            <w:pPr>
              <w:pStyle w:val="Standard"/>
              <w:ind w:left="-62"/>
              <w:rPr>
                <w:rFonts w:eastAsia="標楷體"/>
                <w:sz w:val="22"/>
              </w:rPr>
            </w:pPr>
            <w:r>
              <w:rPr>
                <w:rFonts w:eastAsia="標楷體"/>
                <w:sz w:val="22"/>
              </w:rPr>
              <w:t>場地安全</w:t>
            </w: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6.2.1</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設置於二樓或三樓露臺（直上方無頂蓋之平臺）之室外活動空間及園內樓梯扶手，其欄杆間距不得大於十公分、不得設置橫條，且幼兒不易穿越或攀爬。</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69"/>
              </w:numPr>
              <w:spacing w:line="300" w:lineRule="exact"/>
              <w:jc w:val="both"/>
              <w:rPr>
                <w:rFonts w:eastAsia="標楷體"/>
                <w:sz w:val="22"/>
                <w:szCs w:val="22"/>
              </w:rPr>
            </w:pPr>
            <w:r>
              <w:rPr>
                <w:rFonts w:eastAsia="標楷體"/>
                <w:sz w:val="22"/>
                <w:szCs w:val="22"/>
              </w:rPr>
              <w:t>未使用二樓或三樓之露臺或園內無設置樓梯者，此項免檢核。</w:t>
            </w:r>
          </w:p>
          <w:p w:rsidR="00131EE9" w:rsidRDefault="00FA05EF">
            <w:pPr>
              <w:pStyle w:val="aa"/>
              <w:numPr>
                <w:ilvl w:val="0"/>
                <w:numId w:val="21"/>
              </w:numPr>
              <w:spacing w:line="300" w:lineRule="exact"/>
              <w:jc w:val="both"/>
              <w:rPr>
                <w:rFonts w:eastAsia="標楷體"/>
                <w:sz w:val="22"/>
                <w:szCs w:val="22"/>
              </w:rPr>
            </w:pPr>
            <w:r>
              <w:rPr>
                <w:rFonts w:eastAsia="標楷體"/>
                <w:sz w:val="22"/>
                <w:szCs w:val="22"/>
              </w:rPr>
              <w:t>實地觀察。</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both"/>
              <w:rPr>
                <w:rFonts w:eastAsia="標楷體"/>
                <w:sz w:val="22"/>
              </w:rPr>
            </w:pPr>
            <w:r>
              <w:rPr>
                <w:rFonts w:eastAsia="標楷體"/>
                <w:sz w:val="22"/>
              </w:rPr>
              <w:t>6.2.2</w:t>
            </w:r>
          </w:p>
          <w:p w:rsidR="00131EE9" w:rsidRDefault="00131EE9">
            <w:pPr>
              <w:pStyle w:val="Standard"/>
              <w:jc w:val="both"/>
              <w:rPr>
                <w:rFonts w:eastAsia="標楷體"/>
                <w:sz w:val="22"/>
              </w:rPr>
            </w:pP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jc w:val="both"/>
            </w:pPr>
            <w:r>
              <w:rPr>
                <w:rFonts w:eastAsia="標楷體"/>
                <w:spacing w:val="-4"/>
                <w:sz w:val="22"/>
              </w:rPr>
              <w:t>戶外</w:t>
            </w:r>
            <w:r>
              <w:rPr>
                <w:rFonts w:eastAsia="標楷體"/>
                <w:sz w:val="22"/>
              </w:rPr>
              <w:t>固定式遊戲設施應標示使用者年齡及使用規則，並應符合幼兒年齡層。</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numPr>
                <w:ilvl w:val="0"/>
                <w:numId w:val="70"/>
              </w:numPr>
              <w:snapToGrid w:val="0"/>
              <w:spacing w:line="300" w:lineRule="exact"/>
              <w:jc w:val="both"/>
            </w:pPr>
            <w:r>
              <w:rPr>
                <w:rFonts w:eastAsia="標楷體"/>
                <w:sz w:val="22"/>
              </w:rPr>
              <w:t>未設置</w:t>
            </w:r>
            <w:r>
              <w:rPr>
                <w:rFonts w:eastAsia="標楷體"/>
                <w:spacing w:val="-4"/>
                <w:sz w:val="22"/>
              </w:rPr>
              <w:t>戶外</w:t>
            </w:r>
            <w:r>
              <w:rPr>
                <w:rFonts w:eastAsia="標楷體"/>
                <w:sz w:val="22"/>
              </w:rPr>
              <w:t>固定式遊戲設施者，此項免檢核。</w:t>
            </w:r>
          </w:p>
          <w:p w:rsidR="00131EE9" w:rsidRDefault="00FA05EF">
            <w:pPr>
              <w:pStyle w:val="aa"/>
              <w:numPr>
                <w:ilvl w:val="0"/>
                <w:numId w:val="8"/>
              </w:numPr>
              <w:jc w:val="both"/>
              <w:rPr>
                <w:rFonts w:eastAsia="標楷體"/>
                <w:sz w:val="22"/>
                <w:szCs w:val="22"/>
              </w:rPr>
            </w:pPr>
            <w:r>
              <w:rPr>
                <w:rFonts w:eastAsia="標楷體"/>
                <w:sz w:val="22"/>
                <w:szCs w:val="22"/>
              </w:rPr>
              <w:t>實地觀察。</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jc w:val="center"/>
              <w:rPr>
                <w:sz w:val="22"/>
                <w:szCs w:val="22"/>
              </w:rPr>
            </w:pPr>
            <w:r>
              <w:rPr>
                <w:sz w:val="22"/>
                <w:szCs w:val="22"/>
              </w:rPr>
              <w:t>6.2.3</w:t>
            </w: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spacing w:line="300" w:lineRule="exact"/>
              <w:rPr>
                <w:rFonts w:eastAsia="標楷體"/>
                <w:sz w:val="22"/>
                <w:szCs w:val="22"/>
              </w:rPr>
            </w:pPr>
            <w:r>
              <w:rPr>
                <w:rFonts w:eastAsia="標楷體"/>
                <w:sz w:val="22"/>
                <w:szCs w:val="22"/>
              </w:rPr>
              <w:t>設置於二樓或三樓露臺之室外活動空間及園內樓梯扶手，其欄杆間距不得大於十公分，且不得設置橫條。</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71"/>
              </w:numPr>
              <w:spacing w:line="300" w:lineRule="exact"/>
              <w:ind w:left="330" w:hanging="330"/>
              <w:jc w:val="both"/>
              <w:rPr>
                <w:rFonts w:eastAsia="標楷體"/>
                <w:sz w:val="22"/>
                <w:szCs w:val="22"/>
              </w:rPr>
            </w:pPr>
            <w:r>
              <w:rPr>
                <w:rFonts w:eastAsia="標楷體"/>
                <w:sz w:val="22"/>
                <w:szCs w:val="22"/>
              </w:rPr>
              <w:t>未使用二樓或三樓之露臺或園址位於一樓者，此項免檢核。</w:t>
            </w:r>
          </w:p>
          <w:p w:rsidR="00131EE9" w:rsidRDefault="00FA05EF">
            <w:pPr>
              <w:pStyle w:val="aa"/>
              <w:numPr>
                <w:ilvl w:val="0"/>
                <w:numId w:val="17"/>
              </w:numPr>
              <w:spacing w:line="300" w:lineRule="exact"/>
              <w:jc w:val="both"/>
              <w:rPr>
                <w:rFonts w:eastAsia="標楷體"/>
                <w:sz w:val="22"/>
                <w:szCs w:val="22"/>
              </w:rPr>
            </w:pPr>
            <w:r>
              <w:rPr>
                <w:rFonts w:eastAsia="標楷體"/>
                <w:sz w:val="22"/>
                <w:szCs w:val="22"/>
              </w:rPr>
              <w:t>實地觀察。</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spacing w:line="300" w:lineRule="exact"/>
              <w:ind w:left="466" w:hanging="466"/>
              <w:jc w:val="center"/>
              <w:rPr>
                <w:rFonts w:eastAsia="標楷體"/>
                <w:spacing w:val="-4"/>
                <w:sz w:val="22"/>
                <w:szCs w:val="22"/>
              </w:rPr>
            </w:pPr>
            <w:r>
              <w:rPr>
                <w:rFonts w:eastAsia="標楷體"/>
                <w:spacing w:val="-4"/>
                <w:sz w:val="22"/>
                <w:szCs w:val="22"/>
              </w:rPr>
              <w:t>6.2.4</w:t>
            </w: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spacing w:line="300" w:lineRule="exact"/>
              <w:rPr>
                <w:rFonts w:eastAsia="標楷體"/>
                <w:spacing w:val="-4"/>
                <w:sz w:val="22"/>
                <w:szCs w:val="22"/>
              </w:rPr>
            </w:pPr>
            <w:r>
              <w:rPr>
                <w:rFonts w:eastAsia="標楷體"/>
                <w:spacing w:val="-4"/>
                <w:sz w:val="22"/>
                <w:szCs w:val="22"/>
              </w:rPr>
              <w:t>戶外遊戲場地面應無障礙物。</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aa"/>
              <w:numPr>
                <w:ilvl w:val="0"/>
                <w:numId w:val="72"/>
              </w:numPr>
              <w:spacing w:line="300" w:lineRule="exact"/>
              <w:jc w:val="both"/>
              <w:rPr>
                <w:rFonts w:eastAsia="標楷體"/>
                <w:spacing w:val="-4"/>
                <w:sz w:val="22"/>
                <w:szCs w:val="22"/>
              </w:rPr>
            </w:pPr>
            <w:r>
              <w:rPr>
                <w:rFonts w:eastAsia="標楷體"/>
                <w:spacing w:val="-4"/>
                <w:sz w:val="22"/>
                <w:szCs w:val="22"/>
              </w:rPr>
              <w:t>無戶外遊戲場地，此項免檢核。</w:t>
            </w:r>
          </w:p>
          <w:p w:rsidR="00131EE9" w:rsidRDefault="00FA05EF">
            <w:pPr>
              <w:pStyle w:val="aa"/>
              <w:numPr>
                <w:ilvl w:val="0"/>
                <w:numId w:val="18"/>
              </w:numPr>
              <w:spacing w:line="300" w:lineRule="exact"/>
              <w:jc w:val="both"/>
              <w:rPr>
                <w:rFonts w:eastAsia="標楷體"/>
                <w:sz w:val="22"/>
                <w:szCs w:val="22"/>
              </w:rPr>
            </w:pPr>
            <w:r>
              <w:rPr>
                <w:rFonts w:eastAsia="標楷體"/>
                <w:sz w:val="22"/>
                <w:szCs w:val="22"/>
              </w:rPr>
              <w:t>實地觀察。</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dstrike/>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r w:rsidR="00131EE9">
        <w:tblPrEx>
          <w:tblCellMar>
            <w:top w:w="0" w:type="dxa"/>
            <w:bottom w:w="0" w:type="dxa"/>
          </w:tblCellMar>
        </w:tblPrEx>
        <w:trPr>
          <w:cantSplit/>
          <w:jc w:val="center"/>
        </w:trPr>
        <w:tc>
          <w:tcPr>
            <w:tcW w:w="8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5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14" w:type="dxa"/>
            <w:vMerge/>
            <w:tcBorders>
              <w:top w:val="single" w:sz="4" w:space="0" w:color="000000"/>
              <w:bottom w:val="single" w:sz="4" w:space="0" w:color="000000"/>
            </w:tcBorders>
            <w:tcMar>
              <w:top w:w="0" w:type="dxa"/>
              <w:left w:w="108" w:type="dxa"/>
              <w:bottom w:w="0" w:type="dxa"/>
              <w:right w:w="108" w:type="dxa"/>
            </w:tcMar>
          </w:tcPr>
          <w:p w:rsidR="00000000" w:rsidRDefault="00FA05EF">
            <w:pPr>
              <w:rPr>
                <w:rFonts w:hint="eastAsia"/>
              </w:rPr>
            </w:pPr>
          </w:p>
        </w:tc>
        <w:tc>
          <w:tcPr>
            <w:tcW w:w="661"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spacing w:line="300" w:lineRule="exact"/>
              <w:ind w:left="484" w:hanging="484"/>
              <w:jc w:val="center"/>
              <w:rPr>
                <w:rFonts w:eastAsia="標楷體"/>
                <w:sz w:val="22"/>
                <w:szCs w:val="22"/>
              </w:rPr>
            </w:pPr>
            <w:r>
              <w:rPr>
                <w:rFonts w:eastAsia="標楷體"/>
                <w:sz w:val="22"/>
                <w:szCs w:val="22"/>
              </w:rPr>
              <w:t>6.2.5</w:t>
            </w:r>
          </w:p>
        </w:tc>
        <w:tc>
          <w:tcPr>
            <w:tcW w:w="3042" w:type="dxa"/>
            <w:tcBorders>
              <w:top w:val="single" w:sz="4" w:space="0" w:color="000000"/>
              <w:bottom w:val="single" w:sz="4" w:space="0" w:color="000000"/>
            </w:tcBorders>
            <w:tcMar>
              <w:top w:w="0" w:type="dxa"/>
              <w:left w:w="108" w:type="dxa"/>
              <w:bottom w:w="0" w:type="dxa"/>
              <w:right w:w="108" w:type="dxa"/>
            </w:tcMar>
          </w:tcPr>
          <w:p w:rsidR="00131EE9" w:rsidRDefault="00FA05EF">
            <w:pPr>
              <w:pStyle w:val="Standard"/>
              <w:spacing w:line="300" w:lineRule="exact"/>
            </w:pPr>
            <w:r>
              <w:rPr>
                <w:rFonts w:eastAsia="標楷體"/>
                <w:spacing w:val="-4"/>
                <w:sz w:val="22"/>
                <w:szCs w:val="22"/>
              </w:rPr>
              <w:t>戶外</w:t>
            </w:r>
            <w:r>
              <w:rPr>
                <w:rFonts w:eastAsia="標楷體"/>
                <w:sz w:val="22"/>
                <w:szCs w:val="22"/>
              </w:rPr>
              <w:t>固定式遊戲設施應標示使用者年齡。</w:t>
            </w:r>
          </w:p>
        </w:tc>
        <w:tc>
          <w:tcPr>
            <w:tcW w:w="7023"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FA05EF">
            <w:pPr>
              <w:pStyle w:val="Standard"/>
              <w:numPr>
                <w:ilvl w:val="0"/>
                <w:numId w:val="73"/>
              </w:numPr>
              <w:snapToGrid w:val="0"/>
              <w:spacing w:line="300" w:lineRule="exact"/>
              <w:jc w:val="both"/>
            </w:pPr>
            <w:r>
              <w:rPr>
                <w:rFonts w:eastAsia="標楷體"/>
                <w:sz w:val="22"/>
                <w:szCs w:val="22"/>
              </w:rPr>
              <w:t>未設置</w:t>
            </w:r>
            <w:r>
              <w:rPr>
                <w:rFonts w:eastAsia="標楷體"/>
                <w:spacing w:val="-4"/>
                <w:sz w:val="22"/>
                <w:szCs w:val="22"/>
              </w:rPr>
              <w:t>戶外</w:t>
            </w:r>
            <w:r>
              <w:rPr>
                <w:rFonts w:eastAsia="標楷體"/>
                <w:sz w:val="22"/>
                <w:szCs w:val="22"/>
              </w:rPr>
              <w:t>固定式遊戲設施者，此項免檢核。</w:t>
            </w:r>
          </w:p>
          <w:p w:rsidR="00131EE9" w:rsidRDefault="00FA05EF">
            <w:pPr>
              <w:pStyle w:val="Standard"/>
              <w:numPr>
                <w:ilvl w:val="0"/>
                <w:numId w:val="13"/>
              </w:numPr>
              <w:snapToGrid w:val="0"/>
              <w:spacing w:line="300" w:lineRule="exact"/>
              <w:jc w:val="both"/>
              <w:rPr>
                <w:rFonts w:eastAsia="標楷體"/>
                <w:sz w:val="22"/>
                <w:szCs w:val="22"/>
              </w:rPr>
            </w:pPr>
            <w:r>
              <w:rPr>
                <w:rFonts w:eastAsia="標楷體"/>
                <w:sz w:val="22"/>
                <w:szCs w:val="22"/>
              </w:rPr>
              <w:t>實地觀察。</w:t>
            </w: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494" w:type="dxa"/>
            <w:tcBorders>
              <w:top w:val="single" w:sz="4" w:space="0" w:color="000000"/>
              <w:left w:val="single" w:sz="4" w:space="0" w:color="000000"/>
              <w:bottom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1EE9" w:rsidRDefault="00131EE9">
            <w:pPr>
              <w:pStyle w:val="Standard"/>
              <w:snapToGrid w:val="0"/>
              <w:spacing w:line="300" w:lineRule="exact"/>
              <w:jc w:val="center"/>
              <w:rPr>
                <w:rFonts w:eastAsia="標楷體"/>
                <w:b/>
                <w:sz w:val="22"/>
                <w:szCs w:val="22"/>
              </w:rPr>
            </w:pPr>
          </w:p>
        </w:tc>
      </w:tr>
    </w:tbl>
    <w:p w:rsidR="00131EE9" w:rsidRDefault="00131EE9">
      <w:pPr>
        <w:pStyle w:val="Standard"/>
        <w:rPr>
          <w:rFonts w:eastAsia="標楷體"/>
          <w:sz w:val="22"/>
          <w:szCs w:val="22"/>
        </w:rPr>
      </w:pPr>
    </w:p>
    <w:sectPr w:rsidR="00131EE9">
      <w:headerReference w:type="default" r:id="rId8"/>
      <w:footerReference w:type="default" r:id="rId9"/>
      <w:pgSz w:w="16838" w:h="11906" w:orient="landscape"/>
      <w:pgMar w:top="1134" w:right="567" w:bottom="1134" w:left="567" w:header="851" w:footer="992" w:gutter="0"/>
      <w:pgNumType w:start="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A05EF">
      <w:pPr>
        <w:rPr>
          <w:rFonts w:hint="eastAsia"/>
        </w:rPr>
      </w:pPr>
      <w:r>
        <w:separator/>
      </w:r>
    </w:p>
  </w:endnote>
  <w:endnote w:type="continuationSeparator" w:id="0">
    <w:p w:rsidR="00000000" w:rsidRDefault="00FA05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細明體, MingLiU">
    <w:charset w:val="00"/>
    <w:family w:val="moder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FB7" w:rsidRDefault="00FA05EF">
    <w:pPr>
      <w:pStyle w:val="a8"/>
      <w:jc w:val="center"/>
    </w:pPr>
    <w:r>
      <w:rPr>
        <w:lang w:val="zh-TW"/>
      </w:rPr>
      <w:t>頁</w:t>
    </w:r>
    <w:r>
      <w:rPr>
        <w:rFonts w:eastAsia="Times New Roman"/>
        <w:lang w:val="zh-TW"/>
      </w:rPr>
      <w:t xml:space="preserve"> </w:t>
    </w:r>
    <w:r>
      <w:rPr>
        <w:b/>
        <w:sz w:val="24"/>
        <w:szCs w:val="24"/>
      </w:rPr>
      <w:fldChar w:fldCharType="begin"/>
    </w:r>
    <w:r>
      <w:rPr>
        <w:b/>
        <w:sz w:val="24"/>
        <w:szCs w:val="24"/>
      </w:rPr>
      <w:instrText xml:space="preserve"> PAGE </w:instrText>
    </w:r>
    <w:r>
      <w:rPr>
        <w:b/>
        <w:sz w:val="24"/>
        <w:szCs w:val="24"/>
      </w:rPr>
      <w:fldChar w:fldCharType="separate"/>
    </w:r>
    <w:r>
      <w:rPr>
        <w:b/>
        <w:noProof/>
        <w:sz w:val="24"/>
        <w:szCs w:val="24"/>
      </w:rPr>
      <w:t>2</w:t>
    </w:r>
    <w:r>
      <w:rPr>
        <w:b/>
        <w:sz w:val="24"/>
        <w:szCs w:val="24"/>
      </w:rPr>
      <w:fldChar w:fldCharType="end"/>
    </w:r>
    <w:r>
      <w:rPr>
        <w:rFonts w:eastAsia="Times New Roman"/>
        <w:lang w:val="zh-TW"/>
      </w:rPr>
      <w:t xml:space="preserve"> </w:t>
    </w:r>
    <w:r>
      <w:rPr>
        <w:lang w:val="zh-TW"/>
      </w:rPr>
      <w:t xml:space="preserve">/ </w:t>
    </w:r>
    <w:r>
      <w:rPr>
        <w:b/>
        <w:sz w:val="24"/>
        <w:szCs w:val="24"/>
      </w:rPr>
      <w:fldChar w:fldCharType="begin"/>
    </w:r>
    <w:r>
      <w:rPr>
        <w:b/>
        <w:sz w:val="24"/>
        <w:szCs w:val="24"/>
      </w:rPr>
      <w:instrText xml:space="preserve"> NUMPAGES \* ARABIC </w:instrText>
    </w:r>
    <w:r>
      <w:rPr>
        <w:b/>
        <w:sz w:val="24"/>
        <w:szCs w:val="24"/>
      </w:rPr>
      <w:fldChar w:fldCharType="separate"/>
    </w:r>
    <w:r>
      <w:rPr>
        <w:b/>
        <w:noProof/>
        <w:sz w:val="24"/>
        <w:szCs w:val="24"/>
      </w:rPr>
      <w:t>9</w:t>
    </w:r>
    <w:r>
      <w:rPr>
        <w:b/>
        <w:sz w:val="24"/>
        <w:szCs w:val="24"/>
      </w:rPr>
      <w:fldChar w:fldCharType="end"/>
    </w:r>
  </w:p>
  <w:p w:rsidR="00F84FB7" w:rsidRDefault="00FA05E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A05EF">
      <w:pPr>
        <w:rPr>
          <w:rFonts w:hint="eastAsia"/>
        </w:rPr>
      </w:pPr>
      <w:r>
        <w:rPr>
          <w:color w:val="000000"/>
        </w:rPr>
        <w:separator/>
      </w:r>
    </w:p>
  </w:footnote>
  <w:footnote w:type="continuationSeparator" w:id="0">
    <w:p w:rsidR="00000000" w:rsidRDefault="00FA05EF">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FB7" w:rsidRDefault="00FA05EF">
    <w:pPr>
      <w:pStyle w:val="a7"/>
    </w:pPr>
    <w:r>
      <w:t>附件一</w:t>
    </w:r>
    <w:r>
      <w:rPr>
        <w:rFonts w:eastAsia="Times New Roman"/>
      </w:rPr>
      <w:t xml:space="preserve">  </w:t>
    </w:r>
    <w:r>
      <w:t>一百零七學年至一百一十一學年幼兒園基礎評鑑指標自評表</w:t>
    </w:r>
  </w:p>
  <w:p w:rsidR="00F84FB7" w:rsidRDefault="00FA05E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BD8"/>
    <w:multiLevelType w:val="multilevel"/>
    <w:tmpl w:val="7B92F232"/>
    <w:styleLink w:val="WW8Num1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05D14E5E"/>
    <w:multiLevelType w:val="multilevel"/>
    <w:tmpl w:val="6AA83C4A"/>
    <w:styleLink w:val="WW8Num3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086C4ED8"/>
    <w:multiLevelType w:val="multilevel"/>
    <w:tmpl w:val="0A083772"/>
    <w:styleLink w:val="WW8Num2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0D5C421F"/>
    <w:multiLevelType w:val="multilevel"/>
    <w:tmpl w:val="D9A2A2B2"/>
    <w:styleLink w:val="WW8Num3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120B700E"/>
    <w:multiLevelType w:val="multilevel"/>
    <w:tmpl w:val="281873CA"/>
    <w:styleLink w:val="WW8Num20"/>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1AD21447"/>
    <w:multiLevelType w:val="multilevel"/>
    <w:tmpl w:val="3E7444F6"/>
    <w:styleLink w:val="WW8Num36"/>
    <w:lvl w:ilvl="0">
      <w:start w:val="1"/>
      <w:numFmt w:val="decimal"/>
      <w:lvlText w:val="%1."/>
      <w:lvlJc w:val="left"/>
      <w:rPr>
        <w:rFonts w:eastAsia="標楷體"/>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2A89127C"/>
    <w:multiLevelType w:val="multilevel"/>
    <w:tmpl w:val="A282D31C"/>
    <w:styleLink w:val="WW8Num2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2B5C255F"/>
    <w:multiLevelType w:val="multilevel"/>
    <w:tmpl w:val="EB9C7D2C"/>
    <w:styleLink w:val="WW8Num23"/>
    <w:lvl w:ilvl="0">
      <w:start w:val="1"/>
      <w:numFmt w:val="decimal"/>
      <w:lvlText w:val="%1."/>
      <w:lvlJc w:val="left"/>
      <w:rPr>
        <w:rFonts w:eastAsia="標楷體"/>
        <w:spacing w:val="-4"/>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2F4A750C"/>
    <w:multiLevelType w:val="multilevel"/>
    <w:tmpl w:val="28FCBEA6"/>
    <w:styleLink w:val="WW8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2F8F43B3"/>
    <w:multiLevelType w:val="multilevel"/>
    <w:tmpl w:val="DA3017E4"/>
    <w:styleLink w:val="WW8Num18"/>
    <w:lvl w:ilvl="0">
      <w:start w:val="1"/>
      <w:numFmt w:val="decimal"/>
      <w:lvlText w:val="%1、"/>
      <w:lvlJc w:val="left"/>
      <w:rPr>
        <w:rFonts w:eastAsia="標楷體"/>
        <w:strike w:val="0"/>
        <w:dstrike w:val="0"/>
        <w:spacing w:val="-4"/>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2FE2328B"/>
    <w:multiLevelType w:val="multilevel"/>
    <w:tmpl w:val="8196BEB2"/>
    <w:styleLink w:val="WW8Num2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30F71E80"/>
    <w:multiLevelType w:val="multilevel"/>
    <w:tmpl w:val="7CDEDFF8"/>
    <w:styleLink w:val="WW8Num26"/>
    <w:lvl w:ilvl="0">
      <w:start w:val="1"/>
      <w:numFmt w:val="decimal"/>
      <w:lvlText w:val="%1."/>
      <w:lvlJc w:val="left"/>
      <w:rPr>
        <w:rFonts w:eastAsia="標楷體"/>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nsid w:val="3153017E"/>
    <w:multiLevelType w:val="multilevel"/>
    <w:tmpl w:val="DF3A52A8"/>
    <w:styleLink w:val="WW8Num15"/>
    <w:lvl w:ilvl="0">
      <w:start w:val="1"/>
      <w:numFmt w:val="decimal"/>
      <w:lvlText w:val="%1."/>
      <w:lvlJc w:val="left"/>
      <w:rPr>
        <w:rFonts w:eastAsia="標楷體"/>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nsid w:val="3225638B"/>
    <w:multiLevelType w:val="multilevel"/>
    <w:tmpl w:val="2512861A"/>
    <w:styleLink w:val="WW8Num2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nsid w:val="33871221"/>
    <w:multiLevelType w:val="multilevel"/>
    <w:tmpl w:val="73AE6D08"/>
    <w:styleLink w:val="WW8Num14"/>
    <w:lvl w:ilvl="0">
      <w:start w:val="1"/>
      <w:numFmt w:val="decimal"/>
      <w:lvlText w:val="%1."/>
      <w:lvlJc w:val="left"/>
      <w:rPr>
        <w:rFonts w:eastAsia="標楷體"/>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nsid w:val="349F7EB0"/>
    <w:multiLevelType w:val="multilevel"/>
    <w:tmpl w:val="04880F14"/>
    <w:styleLink w:val="WW8Num29"/>
    <w:lvl w:ilvl="0">
      <w:start w:val="1"/>
      <w:numFmt w:val="decimal"/>
      <w:lvlText w:val="%1."/>
      <w:lvlJc w:val="left"/>
      <w:rPr>
        <w:rFonts w:eastAsia="標楷體"/>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6">
    <w:nsid w:val="34B25592"/>
    <w:multiLevelType w:val="multilevel"/>
    <w:tmpl w:val="370E8E60"/>
    <w:styleLink w:val="WW8Num16"/>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nsid w:val="359B3EB2"/>
    <w:multiLevelType w:val="multilevel"/>
    <w:tmpl w:val="06EAAA36"/>
    <w:styleLink w:val="WW8Num32"/>
    <w:lvl w:ilvl="0">
      <w:start w:val="1"/>
      <w:numFmt w:val="decimal"/>
      <w:lvlText w:val="%1."/>
      <w:lvlJc w:val="left"/>
      <w:rPr>
        <w:rFonts w:eastAsia="標楷體"/>
        <w:spacing w:val="-4"/>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nsid w:val="36CD07B0"/>
    <w:multiLevelType w:val="multilevel"/>
    <w:tmpl w:val="22E2AB94"/>
    <w:styleLink w:val="WW8Num4"/>
    <w:lvl w:ilvl="0">
      <w:start w:val="1"/>
      <w:numFmt w:val="decimal"/>
      <w:lvlText w:val="%1."/>
      <w:lvlJc w:val="left"/>
      <w:rPr>
        <w:rFonts w:eastAsia="標楷體"/>
        <w:spacing w:val="-4"/>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nsid w:val="3B613CCB"/>
    <w:multiLevelType w:val="multilevel"/>
    <w:tmpl w:val="1362E514"/>
    <w:styleLink w:val="WW8Num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nsid w:val="3E79645D"/>
    <w:multiLevelType w:val="multilevel"/>
    <w:tmpl w:val="396AE504"/>
    <w:styleLink w:val="WW8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nsid w:val="3E812D1D"/>
    <w:multiLevelType w:val="multilevel"/>
    <w:tmpl w:val="F3C2E894"/>
    <w:styleLink w:val="WW8Num3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nsid w:val="3E9A6498"/>
    <w:multiLevelType w:val="multilevel"/>
    <w:tmpl w:val="BF6884DC"/>
    <w:styleLink w:val="WW8Num1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3">
    <w:nsid w:val="45261007"/>
    <w:multiLevelType w:val="multilevel"/>
    <w:tmpl w:val="2D4C0CA4"/>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
    <w:nsid w:val="4576155B"/>
    <w:multiLevelType w:val="multilevel"/>
    <w:tmpl w:val="F20C6D7E"/>
    <w:styleLink w:val="WW8Num1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nsid w:val="4A503132"/>
    <w:multiLevelType w:val="multilevel"/>
    <w:tmpl w:val="0FF0B056"/>
    <w:styleLink w:val="WW8Num8"/>
    <w:lvl w:ilvl="0">
      <w:start w:val="1"/>
      <w:numFmt w:val="decimal"/>
      <w:lvlText w:val="%1."/>
      <w:lvlJc w:val="left"/>
      <w:rPr>
        <w:rFonts w:eastAsia="標楷體"/>
        <w:sz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6">
    <w:nsid w:val="51590320"/>
    <w:multiLevelType w:val="multilevel"/>
    <w:tmpl w:val="1E109E4C"/>
    <w:styleLink w:val="WW8Num21"/>
    <w:lvl w:ilvl="0">
      <w:start w:val="1"/>
      <w:numFmt w:val="decimal"/>
      <w:lvlText w:val="%1."/>
      <w:lvlJc w:val="left"/>
      <w:rPr>
        <w:rFonts w:eastAsia="標楷體"/>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nsid w:val="5B1E58E2"/>
    <w:multiLevelType w:val="multilevel"/>
    <w:tmpl w:val="3D5C4EF4"/>
    <w:styleLink w:val="WW8Num3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8">
    <w:nsid w:val="63FC765E"/>
    <w:multiLevelType w:val="multilevel"/>
    <w:tmpl w:val="6D0CBF6E"/>
    <w:styleLink w:val="WW8Num2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nsid w:val="64085BDF"/>
    <w:multiLevelType w:val="multilevel"/>
    <w:tmpl w:val="97FACB0A"/>
    <w:styleLink w:val="WW8Num6"/>
    <w:lvl w:ilvl="0">
      <w:start w:val="1"/>
      <w:numFmt w:val="decimal"/>
      <w:lvlText w:val="%1."/>
      <w:lvlJc w:val="left"/>
      <w:rPr>
        <w:rFonts w:eastAsia="標楷體"/>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nsid w:val="69A23D3C"/>
    <w:multiLevelType w:val="multilevel"/>
    <w:tmpl w:val="CCA213F2"/>
    <w:styleLink w:val="WW8Num13"/>
    <w:lvl w:ilvl="0">
      <w:start w:val="1"/>
      <w:numFmt w:val="decimal"/>
      <w:lvlText w:val="%1、"/>
      <w:lvlJc w:val="left"/>
      <w:rPr>
        <w:rFonts w:eastAsia="標楷體"/>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nsid w:val="6F6836AF"/>
    <w:multiLevelType w:val="multilevel"/>
    <w:tmpl w:val="32C64490"/>
    <w:styleLink w:val="WW8Num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2">
    <w:nsid w:val="70F37A97"/>
    <w:multiLevelType w:val="multilevel"/>
    <w:tmpl w:val="AADA04EA"/>
    <w:styleLink w:val="WW8Num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3">
    <w:nsid w:val="728F2424"/>
    <w:multiLevelType w:val="multilevel"/>
    <w:tmpl w:val="569C1218"/>
    <w:styleLink w:val="WW8Num10"/>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4">
    <w:nsid w:val="72DC2185"/>
    <w:multiLevelType w:val="multilevel"/>
    <w:tmpl w:val="5502B784"/>
    <w:styleLink w:val="WW8Num30"/>
    <w:lvl w:ilvl="0">
      <w:start w:val="1"/>
      <w:numFmt w:val="decimal"/>
      <w:lvlText w:val="%1."/>
      <w:lvlJc w:val="left"/>
      <w:rPr>
        <w:rFonts w:eastAsia="標楷體"/>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5">
    <w:nsid w:val="739038AC"/>
    <w:multiLevelType w:val="multilevel"/>
    <w:tmpl w:val="D82EEE5C"/>
    <w:styleLink w:val="WW8Num12"/>
    <w:lvl w:ilvl="0">
      <w:start w:val="1"/>
      <w:numFmt w:val="decimal"/>
      <w:lvlText w:val="(%1)"/>
      <w:lvlJc w:val="left"/>
      <w:rPr>
        <w:rFonts w:eastAsia="標楷體"/>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23"/>
  </w:num>
  <w:num w:numId="2">
    <w:abstractNumId w:val="8"/>
  </w:num>
  <w:num w:numId="3">
    <w:abstractNumId w:val="20"/>
  </w:num>
  <w:num w:numId="4">
    <w:abstractNumId w:val="18"/>
  </w:num>
  <w:num w:numId="5">
    <w:abstractNumId w:val="32"/>
  </w:num>
  <w:num w:numId="6">
    <w:abstractNumId w:val="29"/>
  </w:num>
  <w:num w:numId="7">
    <w:abstractNumId w:val="31"/>
  </w:num>
  <w:num w:numId="8">
    <w:abstractNumId w:val="25"/>
  </w:num>
  <w:num w:numId="9">
    <w:abstractNumId w:val="19"/>
  </w:num>
  <w:num w:numId="10">
    <w:abstractNumId w:val="33"/>
  </w:num>
  <w:num w:numId="11">
    <w:abstractNumId w:val="24"/>
  </w:num>
  <w:num w:numId="12">
    <w:abstractNumId w:val="35"/>
  </w:num>
  <w:num w:numId="13">
    <w:abstractNumId w:val="30"/>
  </w:num>
  <w:num w:numId="14">
    <w:abstractNumId w:val="14"/>
  </w:num>
  <w:num w:numId="15">
    <w:abstractNumId w:val="12"/>
  </w:num>
  <w:num w:numId="16">
    <w:abstractNumId w:val="16"/>
  </w:num>
  <w:num w:numId="17">
    <w:abstractNumId w:val="22"/>
  </w:num>
  <w:num w:numId="18">
    <w:abstractNumId w:val="9"/>
  </w:num>
  <w:num w:numId="19">
    <w:abstractNumId w:val="0"/>
  </w:num>
  <w:num w:numId="20">
    <w:abstractNumId w:val="4"/>
  </w:num>
  <w:num w:numId="21">
    <w:abstractNumId w:val="26"/>
  </w:num>
  <w:num w:numId="22">
    <w:abstractNumId w:val="10"/>
  </w:num>
  <w:num w:numId="23">
    <w:abstractNumId w:val="7"/>
  </w:num>
  <w:num w:numId="24">
    <w:abstractNumId w:val="13"/>
  </w:num>
  <w:num w:numId="25">
    <w:abstractNumId w:val="2"/>
  </w:num>
  <w:num w:numId="26">
    <w:abstractNumId w:val="11"/>
  </w:num>
  <w:num w:numId="27">
    <w:abstractNumId w:val="28"/>
  </w:num>
  <w:num w:numId="28">
    <w:abstractNumId w:val="6"/>
  </w:num>
  <w:num w:numId="29">
    <w:abstractNumId w:val="15"/>
  </w:num>
  <w:num w:numId="30">
    <w:abstractNumId w:val="34"/>
  </w:num>
  <w:num w:numId="31">
    <w:abstractNumId w:val="27"/>
  </w:num>
  <w:num w:numId="32">
    <w:abstractNumId w:val="17"/>
  </w:num>
  <w:num w:numId="33">
    <w:abstractNumId w:val="21"/>
  </w:num>
  <w:num w:numId="34">
    <w:abstractNumId w:val="3"/>
  </w:num>
  <w:num w:numId="35">
    <w:abstractNumId w:val="1"/>
  </w:num>
  <w:num w:numId="36">
    <w:abstractNumId w:val="5"/>
  </w:num>
  <w:num w:numId="37">
    <w:abstractNumId w:val="0"/>
    <w:lvlOverride w:ilvl="0">
      <w:startOverride w:val="1"/>
    </w:lvlOverride>
  </w:num>
  <w:num w:numId="38">
    <w:abstractNumId w:val="14"/>
    <w:lvlOverride w:ilvl="0">
      <w:startOverride w:val="1"/>
    </w:lvlOverride>
  </w:num>
  <w:num w:numId="39">
    <w:abstractNumId w:val="2"/>
    <w:lvlOverride w:ilvl="0">
      <w:startOverride w:val="1"/>
    </w:lvlOverride>
  </w:num>
  <w:num w:numId="40">
    <w:abstractNumId w:val="19"/>
    <w:lvlOverride w:ilvl="0">
      <w:startOverride w:val="1"/>
    </w:lvlOverride>
  </w:num>
  <w:num w:numId="41">
    <w:abstractNumId w:val="13"/>
    <w:lvlOverride w:ilvl="0">
      <w:startOverride w:val="1"/>
    </w:lvlOverride>
  </w:num>
  <w:num w:numId="42">
    <w:abstractNumId w:val="10"/>
    <w:lvlOverride w:ilvl="0">
      <w:startOverride w:val="1"/>
    </w:lvlOverride>
  </w:num>
  <w:num w:numId="43">
    <w:abstractNumId w:val="3"/>
    <w:lvlOverride w:ilvl="0">
      <w:startOverride w:val="1"/>
    </w:lvlOverride>
  </w:num>
  <w:num w:numId="44">
    <w:abstractNumId w:val="17"/>
    <w:lvlOverride w:ilvl="0">
      <w:startOverride w:val="1"/>
    </w:lvlOverride>
  </w:num>
  <w:num w:numId="45">
    <w:abstractNumId w:val="18"/>
    <w:lvlOverride w:ilvl="0">
      <w:startOverride w:val="1"/>
    </w:lvlOverride>
  </w:num>
  <w:num w:numId="46">
    <w:abstractNumId w:val="7"/>
    <w:lvlOverride w:ilvl="0">
      <w:startOverride w:val="1"/>
    </w:lvlOverride>
  </w:num>
  <w:num w:numId="47">
    <w:abstractNumId w:val="5"/>
    <w:lvlOverride w:ilvl="0">
      <w:startOverride w:val="1"/>
    </w:lvlOverride>
  </w:num>
  <w:num w:numId="48">
    <w:abstractNumId w:val="34"/>
    <w:lvlOverride w:ilvl="0">
      <w:startOverride w:val="1"/>
    </w:lvlOverride>
  </w:num>
  <w:num w:numId="49">
    <w:abstractNumId w:val="27"/>
    <w:lvlOverride w:ilvl="0">
      <w:startOverride w:val="1"/>
    </w:lvlOverride>
  </w:num>
  <w:num w:numId="50">
    <w:abstractNumId w:val="4"/>
    <w:lvlOverride w:ilvl="0">
      <w:startOverride w:val="1"/>
    </w:lvlOverride>
  </w:num>
  <w:num w:numId="51">
    <w:abstractNumId w:val="12"/>
    <w:lvlOverride w:ilvl="0">
      <w:startOverride w:val="1"/>
    </w:lvlOverride>
  </w:num>
  <w:num w:numId="52">
    <w:abstractNumId w:val="11"/>
    <w:lvlOverride w:ilvl="0">
      <w:startOverride w:val="1"/>
    </w:lvlOverride>
  </w:num>
  <w:num w:numId="53">
    <w:abstractNumId w:val="6"/>
    <w:lvlOverride w:ilvl="0">
      <w:startOverride w:val="1"/>
    </w:lvlOverride>
  </w:num>
  <w:num w:numId="54">
    <w:abstractNumId w:val="21"/>
    <w:lvlOverride w:ilvl="0">
      <w:startOverride w:val="1"/>
    </w:lvlOverride>
  </w:num>
  <w:num w:numId="55">
    <w:abstractNumId w:val="29"/>
    <w:lvlOverride w:ilvl="0">
      <w:startOverride w:val="1"/>
    </w:lvlOverride>
  </w:num>
  <w:num w:numId="56">
    <w:abstractNumId w:val="24"/>
    <w:lvlOverride w:ilvl="0">
      <w:startOverride w:val="1"/>
    </w:lvlOverride>
  </w:num>
  <w:num w:numId="57">
    <w:abstractNumId w:val="31"/>
    <w:lvlOverride w:ilvl="0">
      <w:startOverride w:val="1"/>
    </w:lvlOverride>
  </w:num>
  <w:num w:numId="58">
    <w:abstractNumId w:val="33"/>
    <w:lvlOverride w:ilvl="0">
      <w:startOverride w:val="1"/>
    </w:lvlOverride>
  </w:num>
  <w:num w:numId="59">
    <w:abstractNumId w:val="28"/>
    <w:lvlOverride w:ilvl="0">
      <w:startOverride w:val="1"/>
    </w:lvlOverride>
  </w:num>
  <w:num w:numId="60">
    <w:abstractNumId w:val="33"/>
    <w:lvlOverride w:ilvl="0">
      <w:startOverride w:val="1"/>
    </w:lvlOverride>
  </w:num>
  <w:num w:numId="61">
    <w:abstractNumId w:val="32"/>
    <w:lvlOverride w:ilvl="0">
      <w:startOverride w:val="1"/>
    </w:lvlOverride>
  </w:num>
  <w:num w:numId="62">
    <w:abstractNumId w:val="23"/>
    <w:lvlOverride w:ilvl="0">
      <w:startOverride w:val="1"/>
    </w:lvlOverride>
  </w:num>
  <w:num w:numId="63">
    <w:abstractNumId w:val="1"/>
    <w:lvlOverride w:ilvl="0">
      <w:startOverride w:val="1"/>
    </w:lvlOverride>
  </w:num>
  <w:num w:numId="64">
    <w:abstractNumId w:val="35"/>
    <w:lvlOverride w:ilvl="0">
      <w:startOverride w:val="1"/>
    </w:lvlOverride>
  </w:num>
  <w:num w:numId="65">
    <w:abstractNumId w:val="15"/>
    <w:lvlOverride w:ilvl="0">
      <w:startOverride w:val="1"/>
    </w:lvlOverride>
  </w:num>
  <w:num w:numId="66">
    <w:abstractNumId w:val="16"/>
    <w:lvlOverride w:ilvl="0">
      <w:startOverride w:val="1"/>
    </w:lvlOverride>
  </w:num>
  <w:num w:numId="67">
    <w:abstractNumId w:val="8"/>
    <w:lvlOverride w:ilvl="0">
      <w:startOverride w:val="1"/>
    </w:lvlOverride>
  </w:num>
  <w:num w:numId="68">
    <w:abstractNumId w:val="20"/>
    <w:lvlOverride w:ilvl="0">
      <w:startOverride w:val="1"/>
    </w:lvlOverride>
  </w:num>
  <w:num w:numId="69">
    <w:abstractNumId w:val="26"/>
    <w:lvlOverride w:ilvl="0">
      <w:startOverride w:val="1"/>
    </w:lvlOverride>
  </w:num>
  <w:num w:numId="70">
    <w:abstractNumId w:val="25"/>
    <w:lvlOverride w:ilvl="0">
      <w:startOverride w:val="1"/>
    </w:lvlOverride>
  </w:num>
  <w:num w:numId="71">
    <w:abstractNumId w:val="22"/>
    <w:lvlOverride w:ilvl="0">
      <w:startOverride w:val="1"/>
    </w:lvlOverride>
  </w:num>
  <w:num w:numId="72">
    <w:abstractNumId w:val="9"/>
    <w:lvlOverride w:ilvl="0">
      <w:startOverride w:val="1"/>
    </w:lvlOverride>
  </w:num>
  <w:num w:numId="73">
    <w:abstractNumId w:val="30"/>
    <w:lvlOverride w:ilvl="0">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31EE9"/>
    <w:rsid w:val="00131EE9"/>
    <w:rsid w:val="00FA05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HTML">
    <w:name w:val="HTML Preformatted"/>
    <w:basedOn w:val="Standard"/>
    <w:pPr>
      <w:widowControl/>
    </w:pPr>
    <w:rPr>
      <w:rFonts w:ascii="細明體, MingLiU" w:eastAsia="細明體, MingLiU" w:hAnsi="細明體, MingLiU" w:cs="細明體, MingLiU"/>
    </w:rPr>
  </w:style>
  <w:style w:type="paragraph" w:styleId="a5">
    <w:name w:val="annotation text"/>
    <w:basedOn w:val="Standard"/>
  </w:style>
  <w:style w:type="paragraph" w:styleId="a6">
    <w:name w:val="Balloon Text"/>
    <w:basedOn w:val="Standard"/>
    <w:rPr>
      <w:rFonts w:ascii="Cambria" w:hAnsi="Cambria" w:cs="Cambria"/>
      <w:sz w:val="18"/>
      <w:szCs w:val="18"/>
    </w:rPr>
  </w:style>
  <w:style w:type="paragraph" w:styleId="a7">
    <w:name w:val="header"/>
    <w:basedOn w:val="Standard"/>
    <w:pPr>
      <w:snapToGrid w:val="0"/>
    </w:pPr>
    <w:rPr>
      <w:sz w:val="20"/>
      <w:szCs w:val="20"/>
    </w:rPr>
  </w:style>
  <w:style w:type="paragraph" w:styleId="a8">
    <w:name w:val="footer"/>
    <w:basedOn w:val="Standard"/>
    <w:pPr>
      <w:snapToGrid w:val="0"/>
    </w:pPr>
    <w:rPr>
      <w:sz w:val="20"/>
      <w:szCs w:val="20"/>
    </w:rPr>
  </w:style>
  <w:style w:type="paragraph" w:styleId="a9">
    <w:name w:val="annotation subject"/>
    <w:basedOn w:val="a5"/>
    <w:next w:val="a5"/>
    <w:rPr>
      <w:b/>
      <w:bCs/>
    </w:rPr>
  </w:style>
  <w:style w:type="paragraph" w:customStyle="1" w:styleId="Textbodyindent">
    <w:name w:val="Text body indent"/>
    <w:basedOn w:val="Standard"/>
    <w:pPr>
      <w:snapToGrid w:val="0"/>
      <w:ind w:left="540"/>
    </w:pPr>
    <w:rPr>
      <w:rFonts w:eastAsia="標楷體"/>
      <w:sz w:val="28"/>
    </w:rPr>
  </w:style>
  <w:style w:type="paragraph" w:styleId="aa">
    <w:name w:val="List Paragraph"/>
    <w:basedOn w:val="Standard"/>
    <w:pPr>
      <w:ind w:left="480"/>
    </w:pPr>
  </w:style>
  <w:style w:type="paragraph" w:customStyle="1" w:styleId="ab">
    <w:name w:val="令.條"/>
    <w:basedOn w:val="Standard"/>
    <w:pPr>
      <w:spacing w:line="440" w:lineRule="exact"/>
      <w:ind w:left="500" w:hanging="500"/>
      <w:jc w:val="both"/>
    </w:pPr>
    <w:rPr>
      <w:rFonts w:eastAsia="標楷體"/>
      <w:sz w:val="28"/>
      <w:szCs w:val="20"/>
    </w:rPr>
  </w:style>
  <w:style w:type="paragraph" w:customStyle="1" w:styleId="ac">
    <w:name w:val="令.項"/>
    <w:basedOn w:val="Standard"/>
    <w:pPr>
      <w:spacing w:line="440" w:lineRule="exact"/>
      <w:ind w:left="500" w:firstLine="200"/>
      <w:jc w:val="both"/>
    </w:pPr>
    <w:rPr>
      <w:rFonts w:eastAsia="標楷體"/>
      <w:sz w:val="28"/>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標楷體"/>
      <w:spacing w:val="-4"/>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eastAsia="標楷體"/>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標楷體"/>
      <w:sz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標楷體"/>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eastAsia="標楷體"/>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標楷體"/>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標楷體"/>
      <w:strike w:val="0"/>
      <w:dstrike w:val="0"/>
      <w:spacing w:val="-4"/>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標楷體"/>
      <w:sz w:val="22"/>
      <w:szCs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標楷體"/>
      <w:spacing w:val="-4"/>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標楷體"/>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eastAsia="標楷體"/>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eastAsia="標楷體"/>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eastAsia="標楷體"/>
      <w:spacing w:val="-4"/>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標楷體"/>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HTML0">
    <w:name w:val="HTML 預設格式 字元"/>
    <w:rPr>
      <w:rFonts w:ascii="細明體, MingLiU" w:eastAsia="細明體, MingLiU" w:hAnsi="細明體, MingLiU" w:cs="細明體, MingLiU"/>
      <w:kern w:val="3"/>
      <w:szCs w:val="24"/>
    </w:rPr>
  </w:style>
  <w:style w:type="character" w:styleId="ad">
    <w:name w:val="annotation reference"/>
    <w:rPr>
      <w:sz w:val="18"/>
      <w:szCs w:val="18"/>
    </w:rPr>
  </w:style>
  <w:style w:type="character" w:customStyle="1" w:styleId="ae">
    <w:name w:val="註解文字 字元"/>
    <w:rPr>
      <w:rFonts w:ascii="Times New Roman" w:eastAsia="新細明體, PMingLiU" w:hAnsi="Times New Roman" w:cs="Times New Roman"/>
      <w:szCs w:val="24"/>
    </w:rPr>
  </w:style>
  <w:style w:type="character" w:customStyle="1" w:styleId="af">
    <w:name w:val="註解方塊文字 字元"/>
    <w:rPr>
      <w:rFonts w:ascii="Cambria" w:eastAsia="新細明體, PMingLiU" w:hAnsi="Cambria" w:cs="Times New Roman"/>
      <w:sz w:val="18"/>
      <w:szCs w:val="18"/>
    </w:rPr>
  </w:style>
  <w:style w:type="character" w:customStyle="1" w:styleId="af0">
    <w:name w:val="頁首 字元"/>
    <w:rPr>
      <w:rFonts w:ascii="Times New Roman" w:eastAsia="新細明體, PMingLiU" w:hAnsi="Times New Roman" w:cs="Times New Roman"/>
      <w:sz w:val="20"/>
      <w:szCs w:val="20"/>
    </w:rPr>
  </w:style>
  <w:style w:type="character" w:customStyle="1" w:styleId="af1">
    <w:name w:val="頁尾 字元"/>
    <w:rPr>
      <w:rFonts w:ascii="Times New Roman" w:eastAsia="新細明體, PMingLiU" w:hAnsi="Times New Roman" w:cs="Times New Roman"/>
      <w:sz w:val="20"/>
      <w:szCs w:val="20"/>
    </w:rPr>
  </w:style>
  <w:style w:type="character" w:customStyle="1" w:styleId="af2">
    <w:name w:val="註解主旨 字元"/>
    <w:rPr>
      <w:rFonts w:ascii="Times New Roman" w:eastAsia="新細明體, PMingLiU" w:hAnsi="Times New Roman" w:cs="Times New Roman"/>
      <w:b/>
      <w:bCs/>
      <w:szCs w:val="24"/>
    </w:rPr>
  </w:style>
  <w:style w:type="character" w:customStyle="1" w:styleId="highlight">
    <w:name w:val="highlight"/>
    <w:basedOn w:val="a0"/>
  </w:style>
  <w:style w:type="character" w:customStyle="1" w:styleId="Internetlink">
    <w:name w:val="Internet link"/>
    <w:rPr>
      <w:color w:val="0000FF"/>
      <w:u w:val="single"/>
    </w:rPr>
  </w:style>
  <w:style w:type="character" w:customStyle="1" w:styleId="af3">
    <w:name w:val="本文縮排 字元"/>
    <w:rPr>
      <w:rFonts w:ascii="Times New Roman" w:eastAsia="標楷體" w:hAnsi="Times New Roman" w:cs="Times New Roman"/>
      <w:kern w:val="3"/>
      <w:sz w:val="28"/>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HTML">
    <w:name w:val="HTML Preformatted"/>
    <w:basedOn w:val="Standard"/>
    <w:pPr>
      <w:widowControl/>
    </w:pPr>
    <w:rPr>
      <w:rFonts w:ascii="細明體, MingLiU" w:eastAsia="細明體, MingLiU" w:hAnsi="細明體, MingLiU" w:cs="細明體, MingLiU"/>
    </w:rPr>
  </w:style>
  <w:style w:type="paragraph" w:styleId="a5">
    <w:name w:val="annotation text"/>
    <w:basedOn w:val="Standard"/>
  </w:style>
  <w:style w:type="paragraph" w:styleId="a6">
    <w:name w:val="Balloon Text"/>
    <w:basedOn w:val="Standard"/>
    <w:rPr>
      <w:rFonts w:ascii="Cambria" w:hAnsi="Cambria" w:cs="Cambria"/>
      <w:sz w:val="18"/>
      <w:szCs w:val="18"/>
    </w:rPr>
  </w:style>
  <w:style w:type="paragraph" w:styleId="a7">
    <w:name w:val="header"/>
    <w:basedOn w:val="Standard"/>
    <w:pPr>
      <w:snapToGrid w:val="0"/>
    </w:pPr>
    <w:rPr>
      <w:sz w:val="20"/>
      <w:szCs w:val="20"/>
    </w:rPr>
  </w:style>
  <w:style w:type="paragraph" w:styleId="a8">
    <w:name w:val="footer"/>
    <w:basedOn w:val="Standard"/>
    <w:pPr>
      <w:snapToGrid w:val="0"/>
    </w:pPr>
    <w:rPr>
      <w:sz w:val="20"/>
      <w:szCs w:val="20"/>
    </w:rPr>
  </w:style>
  <w:style w:type="paragraph" w:styleId="a9">
    <w:name w:val="annotation subject"/>
    <w:basedOn w:val="a5"/>
    <w:next w:val="a5"/>
    <w:rPr>
      <w:b/>
      <w:bCs/>
    </w:rPr>
  </w:style>
  <w:style w:type="paragraph" w:customStyle="1" w:styleId="Textbodyindent">
    <w:name w:val="Text body indent"/>
    <w:basedOn w:val="Standard"/>
    <w:pPr>
      <w:snapToGrid w:val="0"/>
      <w:ind w:left="540"/>
    </w:pPr>
    <w:rPr>
      <w:rFonts w:eastAsia="標楷體"/>
      <w:sz w:val="28"/>
    </w:rPr>
  </w:style>
  <w:style w:type="paragraph" w:styleId="aa">
    <w:name w:val="List Paragraph"/>
    <w:basedOn w:val="Standard"/>
    <w:pPr>
      <w:ind w:left="480"/>
    </w:pPr>
  </w:style>
  <w:style w:type="paragraph" w:customStyle="1" w:styleId="ab">
    <w:name w:val="令.條"/>
    <w:basedOn w:val="Standard"/>
    <w:pPr>
      <w:spacing w:line="440" w:lineRule="exact"/>
      <w:ind w:left="500" w:hanging="500"/>
      <w:jc w:val="both"/>
    </w:pPr>
    <w:rPr>
      <w:rFonts w:eastAsia="標楷體"/>
      <w:sz w:val="28"/>
      <w:szCs w:val="20"/>
    </w:rPr>
  </w:style>
  <w:style w:type="paragraph" w:customStyle="1" w:styleId="ac">
    <w:name w:val="令.項"/>
    <w:basedOn w:val="Standard"/>
    <w:pPr>
      <w:spacing w:line="440" w:lineRule="exact"/>
      <w:ind w:left="500" w:firstLine="200"/>
      <w:jc w:val="both"/>
    </w:pPr>
    <w:rPr>
      <w:rFonts w:eastAsia="標楷體"/>
      <w:sz w:val="28"/>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標楷體"/>
      <w:spacing w:val="-4"/>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eastAsia="標楷體"/>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標楷體"/>
      <w:sz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標楷體"/>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eastAsia="標楷體"/>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標楷體"/>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標楷體"/>
      <w:strike w:val="0"/>
      <w:dstrike w:val="0"/>
      <w:spacing w:val="-4"/>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標楷體"/>
      <w:sz w:val="22"/>
      <w:szCs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標楷體"/>
      <w:spacing w:val="-4"/>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標楷體"/>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eastAsia="標楷體"/>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eastAsia="標楷體"/>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eastAsia="標楷體"/>
      <w:spacing w:val="-4"/>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標楷體"/>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HTML0">
    <w:name w:val="HTML 預設格式 字元"/>
    <w:rPr>
      <w:rFonts w:ascii="細明體, MingLiU" w:eastAsia="細明體, MingLiU" w:hAnsi="細明體, MingLiU" w:cs="細明體, MingLiU"/>
      <w:kern w:val="3"/>
      <w:szCs w:val="24"/>
    </w:rPr>
  </w:style>
  <w:style w:type="character" w:styleId="ad">
    <w:name w:val="annotation reference"/>
    <w:rPr>
      <w:sz w:val="18"/>
      <w:szCs w:val="18"/>
    </w:rPr>
  </w:style>
  <w:style w:type="character" w:customStyle="1" w:styleId="ae">
    <w:name w:val="註解文字 字元"/>
    <w:rPr>
      <w:rFonts w:ascii="Times New Roman" w:eastAsia="新細明體, PMingLiU" w:hAnsi="Times New Roman" w:cs="Times New Roman"/>
      <w:szCs w:val="24"/>
    </w:rPr>
  </w:style>
  <w:style w:type="character" w:customStyle="1" w:styleId="af">
    <w:name w:val="註解方塊文字 字元"/>
    <w:rPr>
      <w:rFonts w:ascii="Cambria" w:eastAsia="新細明體, PMingLiU" w:hAnsi="Cambria" w:cs="Times New Roman"/>
      <w:sz w:val="18"/>
      <w:szCs w:val="18"/>
    </w:rPr>
  </w:style>
  <w:style w:type="character" w:customStyle="1" w:styleId="af0">
    <w:name w:val="頁首 字元"/>
    <w:rPr>
      <w:rFonts w:ascii="Times New Roman" w:eastAsia="新細明體, PMingLiU" w:hAnsi="Times New Roman" w:cs="Times New Roman"/>
      <w:sz w:val="20"/>
      <w:szCs w:val="20"/>
    </w:rPr>
  </w:style>
  <w:style w:type="character" w:customStyle="1" w:styleId="af1">
    <w:name w:val="頁尾 字元"/>
    <w:rPr>
      <w:rFonts w:ascii="Times New Roman" w:eastAsia="新細明體, PMingLiU" w:hAnsi="Times New Roman" w:cs="Times New Roman"/>
      <w:sz w:val="20"/>
      <w:szCs w:val="20"/>
    </w:rPr>
  </w:style>
  <w:style w:type="character" w:customStyle="1" w:styleId="af2">
    <w:name w:val="註解主旨 字元"/>
    <w:rPr>
      <w:rFonts w:ascii="Times New Roman" w:eastAsia="新細明體, PMingLiU" w:hAnsi="Times New Roman" w:cs="Times New Roman"/>
      <w:b/>
      <w:bCs/>
      <w:szCs w:val="24"/>
    </w:rPr>
  </w:style>
  <w:style w:type="character" w:customStyle="1" w:styleId="highlight">
    <w:name w:val="highlight"/>
    <w:basedOn w:val="a0"/>
  </w:style>
  <w:style w:type="character" w:customStyle="1" w:styleId="Internetlink">
    <w:name w:val="Internet link"/>
    <w:rPr>
      <w:color w:val="0000FF"/>
      <w:u w:val="single"/>
    </w:rPr>
  </w:style>
  <w:style w:type="character" w:customStyle="1" w:styleId="af3">
    <w:name w:val="本文縮排 字元"/>
    <w:rPr>
      <w:rFonts w:ascii="Times New Roman" w:eastAsia="標楷體" w:hAnsi="Times New Roman" w:cs="Times New Roman"/>
      <w:kern w:val="3"/>
      <w:sz w:val="28"/>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USER</cp:lastModifiedBy>
  <cp:revision>1</cp:revision>
  <cp:lastPrinted>2012-08-23T16:32:00Z</cp:lastPrinted>
  <dcterms:created xsi:type="dcterms:W3CDTF">2017-07-18T16:14:00Z</dcterms:created>
  <dcterms:modified xsi:type="dcterms:W3CDTF">2017-12-25T06:10:00Z</dcterms:modified>
</cp:coreProperties>
</file>