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BC33B" w14:textId="77777777" w:rsidR="005A5244" w:rsidRDefault="00000000">
      <w:pPr>
        <w:pStyle w:val="Standard"/>
        <w:tabs>
          <w:tab w:val="left" w:pos="6780"/>
        </w:tabs>
        <w:spacing w:after="36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切   結   書</w:t>
      </w:r>
    </w:p>
    <w:p w14:paraId="092DA87F" w14:textId="23234177" w:rsidR="005A5244" w:rsidRDefault="00000000">
      <w:pPr>
        <w:pStyle w:val="Standard"/>
        <w:tabs>
          <w:tab w:val="left" w:pos="1200"/>
        </w:tabs>
        <w:spacing w:after="360" w:line="300" w:lineRule="auto"/>
        <w:ind w:firstLine="538"/>
      </w:pPr>
      <w:r>
        <w:rPr>
          <w:rFonts w:ascii="標楷體" w:eastAsia="標楷體" w:hAnsi="標楷體"/>
          <w:sz w:val="28"/>
          <w:szCs w:val="28"/>
        </w:rPr>
        <w:t>立切結書人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參加花蓮縣</w:t>
      </w:r>
      <w:r w:rsidR="00EC3CD9">
        <w:rPr>
          <w:rFonts w:ascii="標楷體" w:eastAsia="標楷體" w:hAnsi="標楷體" w:hint="eastAsia"/>
          <w:sz w:val="28"/>
          <w:szCs w:val="28"/>
        </w:rPr>
        <w:t>花蓮市中華國民小學約</w:t>
      </w:r>
      <w:proofErr w:type="gramStart"/>
      <w:r w:rsidR="00EC3CD9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EC3CD9">
        <w:rPr>
          <w:rFonts w:ascii="標楷體" w:eastAsia="標楷體" w:hAnsi="標楷體" w:hint="eastAsia"/>
          <w:sz w:val="28"/>
          <w:szCs w:val="28"/>
        </w:rPr>
        <w:t>職務代理人</w:t>
      </w:r>
      <w:r>
        <w:rPr>
          <w:rFonts w:ascii="標楷體" w:eastAsia="標楷體" w:hAnsi="標楷體"/>
          <w:sz w:val="28"/>
          <w:szCs w:val="28"/>
        </w:rPr>
        <w:t>甄選，如有下列情事之一時，除無異議放棄錄取資格外，並願負相關法律責任，且願無條件繳回已領之薪津，特此切結。</w:t>
      </w:r>
    </w:p>
    <w:p w14:paraId="37A5BF7E" w14:textId="77777777" w:rsidR="005A5244" w:rsidRDefault="00000000">
      <w:pPr>
        <w:pStyle w:val="Standard"/>
        <w:numPr>
          <w:ilvl w:val="0"/>
          <w:numId w:val="4"/>
        </w:numPr>
        <w:spacing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資料有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實情事。</w:t>
      </w:r>
    </w:p>
    <w:p w14:paraId="6CB016D1" w14:textId="77777777" w:rsidR="005A5244" w:rsidRDefault="00000000">
      <w:pPr>
        <w:pStyle w:val="Standard"/>
        <w:numPr>
          <w:ilvl w:val="0"/>
          <w:numId w:val="1"/>
        </w:numPr>
        <w:spacing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違反公務人員任用法第26條第1項迴避任用、公務人員任用法第28條各款及臺灣地區與大陸地區人民關係條例第21條第1項不得任用、公務人員</w:t>
      </w:r>
      <w:proofErr w:type="gramStart"/>
      <w:r>
        <w:rPr>
          <w:rFonts w:ascii="標楷體" w:eastAsia="標楷體" w:hAnsi="標楷體"/>
          <w:sz w:val="28"/>
          <w:szCs w:val="28"/>
        </w:rPr>
        <w:t>陞</w:t>
      </w:r>
      <w:proofErr w:type="gramEnd"/>
      <w:r>
        <w:rPr>
          <w:rFonts w:ascii="標楷體" w:eastAsia="標楷體" w:hAnsi="標楷體"/>
          <w:sz w:val="28"/>
          <w:szCs w:val="28"/>
        </w:rPr>
        <w:t>遷法第12條不得</w:t>
      </w:r>
      <w:proofErr w:type="gramStart"/>
      <w:r>
        <w:rPr>
          <w:rFonts w:ascii="標楷體" w:eastAsia="標楷體" w:hAnsi="標楷體"/>
          <w:sz w:val="28"/>
          <w:szCs w:val="28"/>
        </w:rPr>
        <w:t>陞</w:t>
      </w:r>
      <w:proofErr w:type="gramEnd"/>
      <w:r>
        <w:rPr>
          <w:rFonts w:ascii="標楷體" w:eastAsia="標楷體" w:hAnsi="標楷體"/>
          <w:sz w:val="28"/>
          <w:szCs w:val="28"/>
        </w:rPr>
        <w:t>任、公務員服務法第13條不得兼職規定。</w:t>
      </w:r>
    </w:p>
    <w:p w14:paraId="4E3E7AAA" w14:textId="77777777" w:rsidR="005A5244" w:rsidRDefault="00000000">
      <w:pPr>
        <w:pStyle w:val="Standard"/>
        <w:numPr>
          <w:ilvl w:val="0"/>
          <w:numId w:val="1"/>
        </w:numPr>
        <w:spacing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曾受任何懲戒。</w:t>
      </w:r>
    </w:p>
    <w:p w14:paraId="02AFABFF" w14:textId="0860831B" w:rsidR="00EC3CD9" w:rsidRDefault="00EC3CD9">
      <w:pPr>
        <w:pStyle w:val="Standard"/>
        <w:numPr>
          <w:ilvl w:val="0"/>
          <w:numId w:val="1"/>
        </w:numPr>
        <w:spacing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曾有</w:t>
      </w:r>
      <w:r w:rsidRPr="00EC3CD9">
        <w:rPr>
          <w:rFonts w:ascii="標楷體" w:eastAsia="標楷體" w:hAnsi="標楷體" w:hint="eastAsia"/>
          <w:sz w:val="28"/>
          <w:szCs w:val="28"/>
        </w:rPr>
        <w:t>性侵害、性騷擾及</w:t>
      </w:r>
      <w:proofErr w:type="gramStart"/>
      <w:r w:rsidRPr="00EC3CD9">
        <w:rPr>
          <w:rFonts w:ascii="標楷體" w:eastAsia="標楷體" w:hAnsi="標楷體" w:hint="eastAsia"/>
          <w:sz w:val="28"/>
          <w:szCs w:val="28"/>
        </w:rPr>
        <w:t>性霸凌</w:t>
      </w:r>
      <w:proofErr w:type="gramEnd"/>
      <w:r w:rsidRPr="00EC3CD9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行為或犯罪紀錄。</w:t>
      </w:r>
    </w:p>
    <w:p w14:paraId="4DF4A752" w14:textId="77777777" w:rsidR="005A5244" w:rsidRDefault="005A5244">
      <w:pPr>
        <w:pStyle w:val="Standard"/>
        <w:rPr>
          <w:rFonts w:ascii="標楷體" w:eastAsia="標楷體" w:hAnsi="標楷體"/>
          <w:sz w:val="28"/>
          <w:szCs w:val="28"/>
        </w:rPr>
      </w:pPr>
    </w:p>
    <w:p w14:paraId="3DC3CD48" w14:textId="77777777" w:rsidR="005A5244" w:rsidRDefault="00000000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1BA70A7E" w14:textId="6404EDAD" w:rsidR="005A5244" w:rsidRDefault="00000000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花蓮縣</w:t>
      </w:r>
      <w:r w:rsidR="00EC3CD9">
        <w:rPr>
          <w:rFonts w:ascii="標楷體" w:eastAsia="標楷體" w:hAnsi="標楷體" w:hint="eastAsia"/>
          <w:sz w:val="28"/>
          <w:szCs w:val="28"/>
        </w:rPr>
        <w:t>花蓮市中華國民小學</w:t>
      </w:r>
    </w:p>
    <w:p w14:paraId="724A3440" w14:textId="77777777" w:rsidR="005A5244" w:rsidRDefault="00000000">
      <w:pPr>
        <w:pStyle w:val="Standard"/>
        <w:tabs>
          <w:tab w:val="left" w:pos="5040"/>
        </w:tabs>
        <w:spacing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立切結書人：</w:t>
      </w:r>
    </w:p>
    <w:p w14:paraId="23C36919" w14:textId="77777777" w:rsidR="005A5244" w:rsidRDefault="00000000">
      <w:pPr>
        <w:pStyle w:val="Standard"/>
        <w:tabs>
          <w:tab w:val="left" w:pos="5040"/>
        </w:tabs>
        <w:spacing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身分證字號：</w:t>
      </w:r>
    </w:p>
    <w:p w14:paraId="1AA3A2A6" w14:textId="77777777" w:rsidR="005A5244" w:rsidRDefault="00000000">
      <w:pPr>
        <w:pStyle w:val="Standard"/>
        <w:tabs>
          <w:tab w:val="left" w:pos="5040"/>
        </w:tabs>
        <w:spacing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通  訊  處：</w:t>
      </w:r>
    </w:p>
    <w:p w14:paraId="12A3877C" w14:textId="77777777" w:rsidR="005A5244" w:rsidRDefault="00000000">
      <w:pPr>
        <w:pStyle w:val="Standard"/>
        <w:tabs>
          <w:tab w:val="left" w:pos="5040"/>
        </w:tabs>
        <w:spacing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電      話：</w:t>
      </w:r>
    </w:p>
    <w:p w14:paraId="269156F9" w14:textId="4128A357" w:rsidR="005A5244" w:rsidRDefault="0071465F">
      <w:pPr>
        <w:pStyle w:val="Standard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 w:rsidR="00000000">
        <w:rPr>
          <w:rFonts w:ascii="標楷體" w:eastAsia="標楷體" w:hAnsi="標楷體"/>
          <w:sz w:val="28"/>
          <w:szCs w:val="28"/>
        </w:rPr>
        <w:t>中華民國  　　年　  　月　  　日</w:t>
      </w:r>
    </w:p>
    <w:p w14:paraId="30C24767" w14:textId="77777777" w:rsidR="005A5244" w:rsidRDefault="00000000">
      <w:pPr>
        <w:pStyle w:val="Standard"/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283A160F" w14:textId="50F9DEB5" w:rsidR="005A5244" w:rsidRDefault="00000000">
      <w:pPr>
        <w:pStyle w:val="Standard"/>
        <w:numPr>
          <w:ilvl w:val="0"/>
          <w:numId w:val="5"/>
        </w:numPr>
        <w:spacing w:before="180" w:line="2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公務人員任用法第26條第1項：</w:t>
      </w:r>
    </w:p>
    <w:p w14:paraId="576CF68B" w14:textId="77777777" w:rsidR="005A5244" w:rsidRDefault="00000000">
      <w:pPr>
        <w:pStyle w:val="Standard"/>
        <w:spacing w:before="180" w:line="260" w:lineRule="exact"/>
        <w:ind w:left="360"/>
      </w:pPr>
      <w:r>
        <w:rPr>
          <w:rFonts w:ascii="標楷體" w:eastAsia="標楷體" w:hAnsi="標楷體" w:cs="細明體"/>
          <w:szCs w:val="24"/>
        </w:rPr>
        <w:t>各機關長官對於配偶及三親等以內血親、姻親，不得在本機關任用，或任用為直接隸屬機關之長官。對於本機關各級主管長官之配偶及三親等以內血親、姻親，在其</w:t>
      </w:r>
      <w:r>
        <w:rPr>
          <w:rFonts w:ascii="標楷體" w:eastAsia="標楷體" w:hAnsi="標楷體" w:cs="新細明體"/>
          <w:szCs w:val="24"/>
        </w:rPr>
        <w:t>主管單位中應迴避任用。</w:t>
      </w:r>
    </w:p>
    <w:p w14:paraId="0A3B1C13" w14:textId="1458ACB0" w:rsidR="005A5244" w:rsidRDefault="00000000">
      <w:pPr>
        <w:pStyle w:val="Standard"/>
        <w:numPr>
          <w:ilvl w:val="0"/>
          <w:numId w:val="2"/>
        </w:numPr>
        <w:spacing w:before="180" w:after="180" w:line="2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公務人員任用法第28條第1項第1款至第</w:t>
      </w:r>
      <w:r w:rsidR="00EC3CD9">
        <w:rPr>
          <w:rFonts w:ascii="標楷體" w:eastAsia="標楷體" w:hAnsi="標楷體" w:hint="eastAsia"/>
          <w:b/>
        </w:rPr>
        <w:t>11</w:t>
      </w:r>
      <w:r>
        <w:rPr>
          <w:rFonts w:ascii="標楷體" w:eastAsia="標楷體" w:hAnsi="標楷體"/>
          <w:b/>
        </w:rPr>
        <w:t>款：</w:t>
      </w:r>
    </w:p>
    <w:p w14:paraId="18B0B5C2" w14:textId="77777777" w:rsidR="005A5244" w:rsidRDefault="00000000">
      <w:pPr>
        <w:pStyle w:val="Standard"/>
        <w:numPr>
          <w:ilvl w:val="0"/>
          <w:numId w:val="6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未具或喪失中華民國國籍。</w:t>
      </w:r>
    </w:p>
    <w:p w14:paraId="4E399770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具中華民國國籍兼具外國國籍者。但其他法律另有規定者，不在此限。</w:t>
      </w:r>
    </w:p>
    <w:p w14:paraId="127373DD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動員戡亂時期終止後，曾犯內亂罪、外患罪，經判刑確定或通緝有案尚未結案。</w:t>
      </w:r>
    </w:p>
    <w:p w14:paraId="7230A665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曾服公務有貪污行為，經判刑確定或通緝有案尚未結案。</w:t>
      </w:r>
    </w:p>
    <w:p w14:paraId="4F6C6AF9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犯前二款以外之罪，判處有期徒刑以上之刑確定，尚未執行或執行未畢者。但受緩刑宣告者，不在此限。</w:t>
      </w:r>
    </w:p>
    <w:p w14:paraId="0D50BD15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依法停止任用。</w:t>
      </w:r>
    </w:p>
    <w:p w14:paraId="6D72944F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褫奪公權尚未復權。</w:t>
      </w:r>
    </w:p>
    <w:p w14:paraId="5FB0980D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經原住民族特種考試及格，而未具或喪失原住民身分。</w:t>
      </w:r>
    </w:p>
    <w:p w14:paraId="14C62695" w14:textId="77777777" w:rsidR="005A5244" w:rsidRDefault="00000000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受監護或輔助宣告，尚未撤銷。</w:t>
      </w:r>
    </w:p>
    <w:p w14:paraId="184DE4B0" w14:textId="344571F5" w:rsidR="00EC3CD9" w:rsidRPr="00EC3CD9" w:rsidRDefault="00EC3CD9" w:rsidP="00EC3CD9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 w:hint="eastAsia"/>
        </w:rPr>
      </w:pPr>
      <w:r w:rsidRPr="00EC3CD9">
        <w:rPr>
          <w:rFonts w:ascii="標楷體" w:eastAsia="標楷體" w:hAnsi="標楷體" w:hint="eastAsia"/>
        </w:rPr>
        <w:t>依其他法律規定不得任用為公務人員。</w:t>
      </w:r>
    </w:p>
    <w:p w14:paraId="0DE61734" w14:textId="7BDD4BF5" w:rsidR="00EC3CD9" w:rsidRDefault="00EC3CD9" w:rsidP="00EC3CD9">
      <w:pPr>
        <w:pStyle w:val="Standard"/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EC3CD9">
        <w:rPr>
          <w:rFonts w:ascii="標楷體" w:eastAsia="標楷體" w:hAnsi="標楷體" w:hint="eastAsia"/>
        </w:rPr>
        <w:t>受監護或輔助宣告，尚未撤銷。</w:t>
      </w:r>
    </w:p>
    <w:p w14:paraId="10C2DF46" w14:textId="77777777" w:rsidR="005A5244" w:rsidRDefault="00000000">
      <w:pPr>
        <w:pStyle w:val="Standard"/>
        <w:numPr>
          <w:ilvl w:val="0"/>
          <w:numId w:val="2"/>
        </w:numPr>
        <w:spacing w:before="180" w:after="180" w:line="260" w:lineRule="exact"/>
      </w:pPr>
      <w:r>
        <w:rPr>
          <w:rFonts w:ascii="標楷體" w:eastAsia="標楷體" w:hAnsi="標楷體"/>
          <w:b/>
        </w:rPr>
        <w:t>臺灣地區與大陸地區人民關係條例第21條第1項</w:t>
      </w:r>
      <w:r>
        <w:rPr>
          <w:rFonts w:ascii="標楷體" w:eastAsia="標楷體" w:hAnsi="標楷體"/>
        </w:rPr>
        <w:t>：</w:t>
      </w:r>
    </w:p>
    <w:p w14:paraId="1EFC3C4D" w14:textId="77777777" w:rsidR="005A5244" w:rsidRDefault="00000000">
      <w:pPr>
        <w:pStyle w:val="Standard"/>
        <w:spacing w:line="260" w:lineRule="exact"/>
        <w:ind w:left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大陸地區人民經許可進入臺灣地區者，除法律另有規定外，非在臺灣地區設有戶籍滿十</w:t>
      </w:r>
      <w:r>
        <w:rPr>
          <w:rFonts w:ascii="標楷體" w:eastAsia="標楷體" w:hAnsi="標楷體"/>
        </w:rPr>
        <w:lastRenderedPageBreak/>
        <w:t>年，不得登記為公職候選人、擔任公教或公營事業機關（構）人員及組織政黨；……。</w:t>
      </w:r>
    </w:p>
    <w:p w14:paraId="4DA20E78" w14:textId="77777777" w:rsidR="005A5244" w:rsidRDefault="00000000">
      <w:pPr>
        <w:pStyle w:val="Standard"/>
        <w:numPr>
          <w:ilvl w:val="0"/>
          <w:numId w:val="2"/>
        </w:numPr>
        <w:spacing w:before="180" w:line="260" w:lineRule="exact"/>
      </w:pPr>
      <w:r>
        <w:rPr>
          <w:rFonts w:ascii="標楷體" w:eastAsia="標楷體" w:hAnsi="標楷體"/>
          <w:b/>
          <w:szCs w:val="24"/>
        </w:rPr>
        <w:t>公務人員陞遷法第12條</w:t>
      </w:r>
      <w:r>
        <w:rPr>
          <w:rFonts w:ascii="標楷體" w:eastAsia="標楷體" w:hAnsi="標楷體"/>
          <w:szCs w:val="24"/>
        </w:rPr>
        <w:t>：</w:t>
      </w:r>
    </w:p>
    <w:p w14:paraId="5D11E9C8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各機關下列人員不得辦理陞任：</w:t>
      </w:r>
    </w:p>
    <w:p w14:paraId="134295D8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一、最近三年內因故意犯罪，曾受有期徒刑之判決確定者。但受緩刑宣告者，不在此限。</w:t>
      </w:r>
    </w:p>
    <w:p w14:paraId="7C7B406E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二、最近二年內曾依公務員懲戒法受撤職、休職或降級之處分者。</w:t>
      </w:r>
    </w:p>
    <w:p w14:paraId="1F63A84F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三、最近二年內曾依公務人員考績法受免職之處分者。</w:t>
      </w:r>
    </w:p>
    <w:p w14:paraId="4D3CAB5A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四、最近一年內曾依公務員懲戒法受減俸或記過之處分者。</w:t>
      </w:r>
    </w:p>
    <w:p w14:paraId="2B866E91" w14:textId="77777777" w:rsidR="005A5244" w:rsidRDefault="00000000">
      <w:pPr>
        <w:pStyle w:val="Standard"/>
        <w:spacing w:before="180" w:line="260" w:lineRule="exact"/>
        <w:ind w:left="840" w:hanging="48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五、最近一年考績（成）列丙等者，或最近一年內依公務人員考績法曾受累積達一大過以上之處分者。但功過不得相抵。</w:t>
      </w:r>
    </w:p>
    <w:p w14:paraId="5F4C8678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六、任現職不滿一年者。但下列人員不在此限：</w:t>
      </w:r>
    </w:p>
    <w:p w14:paraId="15CF829D" w14:textId="77777777" w:rsidR="005A5244" w:rsidRDefault="00000000">
      <w:pPr>
        <w:pStyle w:val="Standard"/>
        <w:spacing w:before="180" w:line="260" w:lineRule="exact"/>
        <w:ind w:left="1092" w:hanging="732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（一）合計任本機關同一序列或較高序列職務，或合計曾任他機關較高職務列等或職務列等相同之職務年資滿一年。</w:t>
      </w:r>
    </w:p>
    <w:p w14:paraId="54D26C6B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（二）本機關次一序列職務之人員均任現職未滿一年且無前目之情形。</w:t>
      </w:r>
    </w:p>
    <w:p w14:paraId="2796253B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（三）前條第一項第五款之情形。</w:t>
      </w:r>
    </w:p>
    <w:p w14:paraId="461F128A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七、經機關核准帶職帶薪全時訓練或進修六個月以上，於訓練或進修期間者。</w:t>
      </w:r>
    </w:p>
    <w:p w14:paraId="31170443" w14:textId="77777777" w:rsidR="005A5244" w:rsidRDefault="00000000">
      <w:pPr>
        <w:pStyle w:val="Standard"/>
        <w:spacing w:before="180" w:line="260" w:lineRule="exact"/>
        <w:ind w:left="840" w:hanging="48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八、經機關核准留職停薪，於留職停薪期間者。但因配合政府政策或公務需要，奉派國外協助友邦工作或借調其他公務機關、公民營事業機構、財團法人服務，經核准留職停薪者，不在此限。</w:t>
      </w:r>
    </w:p>
    <w:p w14:paraId="5B0B46CB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九、依法停職期間或奉准延長病假期間者。</w:t>
      </w:r>
    </w:p>
    <w:p w14:paraId="5AA7CC63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有前項各款情事之一者，於各機關辦理外補陞任時，亦適用之。</w:t>
      </w:r>
    </w:p>
    <w:p w14:paraId="7258C85B" w14:textId="77777777" w:rsidR="005A5244" w:rsidRDefault="00000000">
      <w:pPr>
        <w:pStyle w:val="Standard"/>
        <w:numPr>
          <w:ilvl w:val="0"/>
          <w:numId w:val="2"/>
        </w:numPr>
        <w:spacing w:before="180" w:line="260" w:lineRule="exact"/>
      </w:pPr>
      <w:r>
        <w:rPr>
          <w:rFonts w:ascii="標楷體" w:eastAsia="標楷體" w:hAnsi="標楷體"/>
          <w:b/>
          <w:szCs w:val="24"/>
        </w:rPr>
        <w:t>公務員服務法第13條</w:t>
      </w:r>
      <w:r>
        <w:rPr>
          <w:rFonts w:ascii="標楷體" w:eastAsia="標楷體" w:hAnsi="標楷體"/>
          <w:szCs w:val="24"/>
        </w:rPr>
        <w:t>：</w:t>
      </w:r>
    </w:p>
    <w:p w14:paraId="530B3575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</w:t>
      </w:r>
    </w:p>
    <w:p w14:paraId="700EA0A5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公務員非依法不得兼公營事業機關或公司代表官股之董事或監察人。</w:t>
      </w:r>
    </w:p>
    <w:p w14:paraId="7C35BD4B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公務員利用權力、公款或公務上之秘密消息而圖利者，依刑法第一百三十一條處斷；其他法令有特別處罰規定者，依其規定。其離職者，亦同。</w:t>
      </w:r>
    </w:p>
    <w:p w14:paraId="34ABE10E" w14:textId="77777777" w:rsidR="005A5244" w:rsidRDefault="00000000">
      <w:pPr>
        <w:pStyle w:val="Standard"/>
        <w:spacing w:before="180" w:line="260" w:lineRule="exact"/>
        <w:ind w:left="360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/>
          <w:szCs w:val="24"/>
        </w:rPr>
        <w:t>公務員違反第一項、第二項或第三項之規定者，應先予撤職。</w:t>
      </w:r>
    </w:p>
    <w:p w14:paraId="40E5A4D6" w14:textId="77777777" w:rsidR="005A5244" w:rsidRDefault="005A5244">
      <w:pPr>
        <w:pStyle w:val="Standard"/>
        <w:spacing w:before="180" w:after="180" w:line="260" w:lineRule="exact"/>
        <w:ind w:left="360"/>
        <w:rPr>
          <w:rFonts w:ascii="標楷體" w:eastAsia="標楷體" w:hAnsi="標楷體" w:cs="細明體"/>
          <w:szCs w:val="24"/>
        </w:rPr>
      </w:pPr>
    </w:p>
    <w:sectPr w:rsidR="005A5244">
      <w:footnotePr>
        <w:numRestart w:val="eachPage"/>
      </w:footnotePr>
      <w:pgSz w:w="11906" w:h="16838"/>
      <w:pgMar w:top="567" w:right="907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B1B6C" w14:textId="77777777" w:rsidR="00022971" w:rsidRDefault="00022971">
      <w:r>
        <w:separator/>
      </w:r>
    </w:p>
  </w:endnote>
  <w:endnote w:type="continuationSeparator" w:id="0">
    <w:p w14:paraId="29064D2F" w14:textId="77777777" w:rsidR="00022971" w:rsidRDefault="0002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CF11C" w14:textId="77777777" w:rsidR="00022971" w:rsidRDefault="00022971">
      <w:r>
        <w:rPr>
          <w:color w:val="000000"/>
        </w:rPr>
        <w:separator/>
      </w:r>
    </w:p>
  </w:footnote>
  <w:footnote w:type="continuationSeparator" w:id="0">
    <w:p w14:paraId="2FCED16E" w14:textId="77777777" w:rsidR="00022971" w:rsidRDefault="0002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CD8"/>
    <w:multiLevelType w:val="multilevel"/>
    <w:tmpl w:val="E496E03E"/>
    <w:styleLink w:val="LS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480" w:hanging="480"/>
      </w:pPr>
    </w:lvl>
    <w:lvl w:ilvl="5">
      <w:start w:val="1"/>
      <w:numFmt w:val="decimal"/>
      <w:lvlText w:val="%1.%2.%3.%4.%5.%6"/>
      <w:lvlJc w:val="left"/>
      <w:pPr>
        <w:ind w:left="480" w:hanging="480"/>
      </w:pPr>
    </w:lvl>
    <w:lvl w:ilvl="6">
      <w:start w:val="1"/>
      <w:numFmt w:val="decimal"/>
      <w:lvlText w:val="%1.%2.%3.%4.%5.%6.%7"/>
      <w:lvlJc w:val="left"/>
      <w:pPr>
        <w:ind w:left="480" w:hanging="480"/>
      </w:pPr>
    </w:lvl>
    <w:lvl w:ilvl="7">
      <w:start w:val="1"/>
      <w:numFmt w:val="decimal"/>
      <w:lvlText w:val="%1.%2.%3.%4.%5.%6.%7.%8"/>
      <w:lvlJc w:val="left"/>
      <w:pPr>
        <w:ind w:left="480" w:hanging="480"/>
      </w:pPr>
    </w:lvl>
    <w:lvl w:ilvl="8">
      <w:start w:val="1"/>
      <w:numFmt w:val="decimal"/>
      <w:lvlText w:val="%1.%2.%3.%4.%5.%6.%7.%8.%9"/>
      <w:lvlJc w:val="left"/>
      <w:pPr>
        <w:ind w:left="480" w:hanging="480"/>
      </w:pPr>
    </w:lvl>
  </w:abstractNum>
  <w:abstractNum w:abstractNumId="1" w15:restartNumberingAfterBreak="0">
    <w:nsid w:val="0DE07FC5"/>
    <w:multiLevelType w:val="multilevel"/>
    <w:tmpl w:val="F0020A8C"/>
    <w:styleLink w:val="LS3"/>
    <w:lvl w:ilvl="0">
      <w:start w:val="1"/>
      <w:numFmt w:val="decimal"/>
      <w:lvlText w:val="（%1）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16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312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560"/>
      </w:pPr>
    </w:lvl>
  </w:abstractNum>
  <w:abstractNum w:abstractNumId="2" w15:restartNumberingAfterBreak="0">
    <w:nsid w:val="5151633E"/>
    <w:multiLevelType w:val="multilevel"/>
    <w:tmpl w:val="2A04390A"/>
    <w:styleLink w:val="LS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 w16cid:durableId="504439171">
    <w:abstractNumId w:val="0"/>
  </w:num>
  <w:num w:numId="2" w16cid:durableId="1310592861">
    <w:abstractNumId w:val="2"/>
  </w:num>
  <w:num w:numId="3" w16cid:durableId="228350860">
    <w:abstractNumId w:val="1"/>
  </w:num>
  <w:num w:numId="4" w16cid:durableId="1234776136">
    <w:abstractNumId w:val="0"/>
    <w:lvlOverride w:ilvl="0">
      <w:startOverride w:val="1"/>
    </w:lvlOverride>
  </w:num>
  <w:num w:numId="5" w16cid:durableId="1828090997">
    <w:abstractNumId w:val="2"/>
    <w:lvlOverride w:ilvl="0">
      <w:startOverride w:val="1"/>
    </w:lvlOverride>
  </w:num>
  <w:num w:numId="6" w16cid:durableId="90233219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5244"/>
    <w:rsid w:val="00022971"/>
    <w:rsid w:val="005A5244"/>
    <w:rsid w:val="0071465F"/>
    <w:rsid w:val="00A65049"/>
    <w:rsid w:val="00E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3258"/>
  <w15:docId w15:val="{519B8092-1375-4A0B-86F6-DE870FC5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 w:val="24"/>
    </w:rPr>
  </w:style>
  <w:style w:type="paragraph" w:customStyle="1" w:styleId="1">
    <w:name w:val="無清單1"/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character" w:customStyle="1" w:styleId="List1Level0">
    <w:name w:val="List1Level0"/>
  </w:style>
  <w:style w:type="character" w:customStyle="1" w:styleId="List1Level1">
    <w:name w:val="List1Level1"/>
  </w:style>
  <w:style w:type="character" w:customStyle="1" w:styleId="List1Level2">
    <w:name w:val="List1Level2"/>
  </w:style>
  <w:style w:type="character" w:customStyle="1" w:styleId="List1Level3">
    <w:name w:val="List1Level3"/>
  </w:style>
  <w:style w:type="character" w:customStyle="1" w:styleId="List1Level4">
    <w:name w:val="List1Level4"/>
  </w:style>
  <w:style w:type="character" w:customStyle="1" w:styleId="List1Level5">
    <w:name w:val="List1Level5"/>
  </w:style>
  <w:style w:type="character" w:customStyle="1" w:styleId="List1Level6">
    <w:name w:val="List1Level6"/>
  </w:style>
  <w:style w:type="character" w:customStyle="1" w:styleId="List1Level7">
    <w:name w:val="List1Level7"/>
  </w:style>
  <w:style w:type="character" w:customStyle="1" w:styleId="List1Level8">
    <w:name w:val="List1Level8"/>
  </w:style>
  <w:style w:type="character" w:customStyle="1" w:styleId="List2Level0">
    <w:name w:val="List2Level0"/>
  </w:style>
  <w:style w:type="character" w:customStyle="1" w:styleId="List2Level1">
    <w:name w:val="List2Level1"/>
  </w:style>
  <w:style w:type="character" w:customStyle="1" w:styleId="List2Level2">
    <w:name w:val="List2Level2"/>
  </w:style>
  <w:style w:type="character" w:customStyle="1" w:styleId="List2Level3">
    <w:name w:val="List2Level3"/>
  </w:style>
  <w:style w:type="character" w:customStyle="1" w:styleId="List2Level4">
    <w:name w:val="List2Level4"/>
  </w:style>
  <w:style w:type="character" w:customStyle="1" w:styleId="List2Level5">
    <w:name w:val="List2Level5"/>
  </w:style>
  <w:style w:type="character" w:customStyle="1" w:styleId="List2Level6">
    <w:name w:val="List2Level6"/>
  </w:style>
  <w:style w:type="character" w:customStyle="1" w:styleId="List2Level7">
    <w:name w:val="List2Level7"/>
  </w:style>
  <w:style w:type="character" w:customStyle="1" w:styleId="List2Level8">
    <w:name w:val="List2Level8"/>
  </w:style>
  <w:style w:type="character" w:customStyle="1" w:styleId="List3Level0">
    <w:name w:val="List3Level0"/>
  </w:style>
  <w:style w:type="character" w:customStyle="1" w:styleId="List3Level1">
    <w:name w:val="List3Level1"/>
  </w:style>
  <w:style w:type="character" w:customStyle="1" w:styleId="List3Level2">
    <w:name w:val="List3Level2"/>
  </w:style>
  <w:style w:type="character" w:customStyle="1" w:styleId="List3Level3">
    <w:name w:val="List3Level3"/>
  </w:style>
  <w:style w:type="character" w:customStyle="1" w:styleId="List3Level4">
    <w:name w:val="List3Level4"/>
  </w:style>
  <w:style w:type="character" w:customStyle="1" w:styleId="List3Level5">
    <w:name w:val="List3Level5"/>
  </w:style>
  <w:style w:type="character" w:customStyle="1" w:styleId="List3Level6">
    <w:name w:val="List3Level6"/>
  </w:style>
  <w:style w:type="character" w:customStyle="1" w:styleId="List3Level7">
    <w:name w:val="List3Level7"/>
  </w:style>
  <w:style w:type="character" w:customStyle="1" w:styleId="List3Level8">
    <w:name w:val="List3Level8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結   書</dc:title>
  <dc:creator>.</dc:creator>
  <cp:lastModifiedBy>中華國小-007</cp:lastModifiedBy>
  <cp:revision>2</cp:revision>
  <cp:lastPrinted>2015-04-15T03:04:00Z</cp:lastPrinted>
  <dcterms:created xsi:type="dcterms:W3CDTF">2024-06-12T08:14:00Z</dcterms:created>
  <dcterms:modified xsi:type="dcterms:W3CDTF">2024-06-12T08:14:00Z</dcterms:modified>
</cp:coreProperties>
</file>